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E2A01" w14:textId="282C12D6" w:rsidR="00DB49D1" w:rsidRDefault="00DB49D1" w:rsidP="00DB49D1">
      <w:pPr>
        <w:pStyle w:val="berschrift1"/>
      </w:pPr>
      <w:r w:rsidRPr="0040335B">
        <w:t>Helden der Antike gehen in die Unterwelt</w:t>
      </w:r>
    </w:p>
    <w:p w14:paraId="3DDB5C68" w14:textId="6F8FB727" w:rsidR="00751A03" w:rsidRPr="00751A03" w:rsidRDefault="00751A03" w:rsidP="00751A03">
      <w:pPr>
        <w:pStyle w:val="berschrift3"/>
      </w:pPr>
      <w:r>
        <w:t xml:space="preserve">Teil </w:t>
      </w:r>
      <w:r w:rsidR="000A37FA">
        <w:t>2</w:t>
      </w:r>
      <w:r>
        <w:t>: Hercules holt Cerberus aus der Unterwelt</w:t>
      </w:r>
      <w:r w:rsidR="000A37FA">
        <w:t xml:space="preserve"> – der Erfolg</w:t>
      </w:r>
    </w:p>
    <w:p w14:paraId="1C2E4B1F" w14:textId="359B4DF8" w:rsidR="00DB49D1" w:rsidRPr="0040335B" w:rsidRDefault="00DB49D1" w:rsidP="00DB49D1">
      <w:pPr>
        <w:rPr>
          <w:i/>
          <w:iCs/>
        </w:rPr>
      </w:pPr>
      <w:r w:rsidRPr="0040335B">
        <w:rPr>
          <w:i/>
          <w:iCs/>
        </w:rPr>
        <w:t>Die sagenhaften Helden der Griechen und Römer gingen, wenn es sein musste, auch in die Unterwelt zu den Toten.</w:t>
      </w:r>
      <w:r w:rsidR="00751A03">
        <w:rPr>
          <w:i/>
          <w:iCs/>
        </w:rPr>
        <w:t xml:space="preserve"> Hercules holte den wilden, dreiköpfigen Hund Cerberus aus der Unterwelt.</w:t>
      </w:r>
    </w:p>
    <w:p w14:paraId="67FC238F" w14:textId="77777777" w:rsidR="00C80C65" w:rsidRDefault="00C80C65" w:rsidP="00A7420B">
      <w:r w:rsidRPr="00751A03">
        <w:rPr>
          <w:b/>
          <w:bCs/>
        </w:rPr>
        <w:t>Aufgaben</w:t>
      </w:r>
      <w:r>
        <w:t xml:space="preserve"> – bearbeite sie in dieser Reihenfolge:</w:t>
      </w:r>
    </w:p>
    <w:p w14:paraId="657FC86A" w14:textId="77777777" w:rsidR="002237E9" w:rsidRPr="002237E9" w:rsidRDefault="002237E9" w:rsidP="002237E9">
      <w:pPr>
        <w:pStyle w:val="Listenabsatz"/>
        <w:numPr>
          <w:ilvl w:val="0"/>
          <w:numId w:val="3"/>
        </w:numPr>
        <w:spacing w:after="0" w:line="360" w:lineRule="auto"/>
      </w:pPr>
      <w:r w:rsidRPr="000D6EF8">
        <w:rPr>
          <w:u w:val="single"/>
        </w:rPr>
        <w:t>Unterstreiche</w:t>
      </w:r>
      <w:r w:rsidRPr="002237E9">
        <w:t xml:space="preserve"> alle Prädikate.</w:t>
      </w:r>
    </w:p>
    <w:p w14:paraId="72387308" w14:textId="77777777" w:rsidR="002237E9" w:rsidRPr="002237E9" w:rsidRDefault="002237E9" w:rsidP="002237E9">
      <w:pPr>
        <w:pStyle w:val="Listenabsatz"/>
        <w:numPr>
          <w:ilvl w:val="0"/>
          <w:numId w:val="3"/>
        </w:numPr>
        <w:spacing w:after="0" w:line="360" w:lineRule="auto"/>
      </w:pPr>
      <w:r w:rsidRPr="002237E9">
        <w:t xml:space="preserve">Setze alle Nebensätze, deren Prädikat im Konjunktiv steht, in </w:t>
      </w:r>
      <w:r w:rsidRPr="000D6EF8">
        <w:rPr>
          <w:i/>
          <w:iCs/>
        </w:rPr>
        <w:t>Kursivschrift</w:t>
      </w:r>
      <w:r w:rsidRPr="002237E9">
        <w:t>.</w:t>
      </w:r>
    </w:p>
    <w:p w14:paraId="7AA1E2A7" w14:textId="77777777" w:rsidR="002237E9" w:rsidRPr="002237E9" w:rsidRDefault="002237E9" w:rsidP="002237E9">
      <w:pPr>
        <w:pStyle w:val="Listenabsatz"/>
        <w:numPr>
          <w:ilvl w:val="0"/>
          <w:numId w:val="3"/>
        </w:numPr>
        <w:spacing w:after="0" w:line="360" w:lineRule="auto"/>
      </w:pPr>
      <w:r w:rsidRPr="002237E9">
        <w:t>Übersetze den Text. Verwende dafür die rechte Spalte.</w:t>
      </w:r>
    </w:p>
    <w:p w14:paraId="2F811E79" w14:textId="77777777" w:rsidR="002237E9" w:rsidRPr="002237E9" w:rsidRDefault="002237E9" w:rsidP="002237E9">
      <w:pPr>
        <w:pStyle w:val="Listenabsatz"/>
        <w:numPr>
          <w:ilvl w:val="0"/>
          <w:numId w:val="3"/>
        </w:numPr>
        <w:spacing w:after="0" w:line="360" w:lineRule="auto"/>
      </w:pPr>
      <w:r w:rsidRPr="002237E9">
        <w:t>Mache das Quiz zum Verständnis des Übersetzungstextes (Du findest das Quiz in Thema 5 des Moodle-Kurses: „Klicke alle Aussagen an...“).</w:t>
      </w:r>
    </w:p>
    <w:p w14:paraId="077AE0E7" w14:textId="77777777" w:rsidR="002237E9" w:rsidRPr="002237E9" w:rsidRDefault="002237E9" w:rsidP="002237E9">
      <w:pPr>
        <w:pStyle w:val="Listenabsatz"/>
        <w:numPr>
          <w:ilvl w:val="0"/>
          <w:numId w:val="3"/>
        </w:numPr>
        <w:spacing w:after="0" w:line="360" w:lineRule="auto"/>
      </w:pPr>
      <w:r w:rsidRPr="002237E9">
        <w:t>Korrigiere deine Übersetzung und speichere sie. Füge deinen Namen in den Dateinamen ein.</w:t>
      </w:r>
    </w:p>
    <w:p w14:paraId="1012A256" w14:textId="77777777" w:rsidR="002237E9" w:rsidRPr="002237E9" w:rsidRDefault="002237E9" w:rsidP="002237E9">
      <w:pPr>
        <w:pStyle w:val="Listenabsatz"/>
        <w:numPr>
          <w:ilvl w:val="0"/>
          <w:numId w:val="3"/>
        </w:numPr>
        <w:spacing w:after="0" w:line="360" w:lineRule="auto"/>
      </w:pPr>
      <w:r w:rsidRPr="002237E9">
        <w:t>Lade diese Datei mit der Lösung hoch. Du findest das Feld „Lade hier deine Übersetzung zum zweiten des Textes hoch“ in deinem Moodle-Kurs, Thema 5.</w:t>
      </w:r>
    </w:p>
    <w:p w14:paraId="2D174425" w14:textId="77777777" w:rsidR="00D9665E" w:rsidRDefault="00C80C65" w:rsidP="00D9665E">
      <w:pPr>
        <w:spacing w:after="0" w:line="240" w:lineRule="auto"/>
      </w:pPr>
      <w:r>
        <w:t xml:space="preserve">Zu den Vokabeln: Die Vokabeln mit </w:t>
      </w:r>
      <w:r w:rsidRPr="00027CDF">
        <w:rPr>
          <w:b/>
          <w:bCs/>
          <w:sz w:val="28"/>
          <w:szCs w:val="28"/>
        </w:rPr>
        <w:t>*</w:t>
      </w:r>
      <w:r>
        <w:rPr>
          <w:b/>
          <w:bCs/>
          <w:sz w:val="28"/>
          <w:szCs w:val="28"/>
        </w:rPr>
        <w:t xml:space="preserve"> </w:t>
      </w:r>
      <w:r w:rsidRPr="00027CDF">
        <w:t>sind</w:t>
      </w:r>
      <w:r>
        <w:t xml:space="preserve"> Lernvokabeln. Präge sie dir beim Übersetzen ein.</w:t>
      </w:r>
      <w:r w:rsidR="00D9665E">
        <w:t xml:space="preserve"> Die Liste der Lernvokabeln steht im Moodle-Kurs. Siehe auch den Grundwortschatz beim Landesbildungsserver: </w:t>
      </w:r>
    </w:p>
    <w:p w14:paraId="11AE6BCD" w14:textId="3E613956" w:rsidR="00C80C65" w:rsidRDefault="00770F65" w:rsidP="00D9665E">
      <w:pPr>
        <w:spacing w:after="120" w:line="240" w:lineRule="auto"/>
      </w:pPr>
      <w:hyperlink r:id="rId7" w:history="1">
        <w:r w:rsidR="00D9665E" w:rsidRPr="00E65C06">
          <w:rPr>
            <w:rStyle w:val="Hyperlink"/>
          </w:rPr>
          <w:t>www.schule-bw.de/faecher-und-schularten/sprachen-und-literatur/latein/sprache/grundwortschatz</w:t>
        </w:r>
      </w:hyperlink>
      <w:r w:rsidR="00D9665E">
        <w:t xml:space="preserve"> </w:t>
      </w:r>
    </w:p>
    <w:p w14:paraId="6B6A5822" w14:textId="77777777" w:rsidR="00C80C65" w:rsidRDefault="00C80C65" w:rsidP="00C80C65">
      <w:r>
        <w:t xml:space="preserve">Beim Landesbildungsserver findest du eine </w:t>
      </w:r>
      <w:hyperlink r:id="rId8" w:history="1">
        <w:r w:rsidRPr="00027CDF">
          <w:rPr>
            <w:rStyle w:val="Hyperlink"/>
          </w:rPr>
          <w:t>Liste mit Online-Wörterbüchern</w:t>
        </w:r>
      </w:hyperlink>
      <w:r>
        <w:t xml:space="preserve">, die auf ihre Zuverlässigkeit geprüft wurden. Du kannst z. B. das Lateinlexikon von </w:t>
      </w:r>
      <w:hyperlink r:id="rId9" w:history="1">
        <w:r>
          <w:rPr>
            <w:rStyle w:val="Hyperlink"/>
          </w:rPr>
          <w:t>Pons</w:t>
        </w:r>
      </w:hyperlink>
      <w:r>
        <w:t xml:space="preserve"> verwenden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7"/>
        <w:gridCol w:w="3017"/>
        <w:gridCol w:w="3018"/>
      </w:tblGrid>
      <w:tr w:rsidR="001A7068" w14:paraId="647324C0" w14:textId="77777777" w:rsidTr="001A7068">
        <w:tc>
          <w:tcPr>
            <w:tcW w:w="3017" w:type="dxa"/>
          </w:tcPr>
          <w:p w14:paraId="50CA55B8" w14:textId="4C2A0408" w:rsidR="001A7068" w:rsidRPr="006579C2" w:rsidRDefault="001A7068" w:rsidP="001A7068">
            <w:pPr>
              <w:rPr>
                <w:sz w:val="24"/>
                <w:szCs w:val="24"/>
              </w:rPr>
            </w:pPr>
            <w:r w:rsidRPr="006579C2">
              <w:rPr>
                <w:sz w:val="24"/>
                <w:szCs w:val="24"/>
              </w:rPr>
              <w:t>Lateinischer Text</w:t>
            </w:r>
          </w:p>
        </w:tc>
        <w:tc>
          <w:tcPr>
            <w:tcW w:w="3017" w:type="dxa"/>
          </w:tcPr>
          <w:p w14:paraId="7D4764C2" w14:textId="36C049B4" w:rsidR="001A7068" w:rsidRDefault="001A7068" w:rsidP="001A7068">
            <w:pPr>
              <w:pStyle w:val="vokangabe2"/>
            </w:pPr>
            <w:r>
              <w:t>Übersetzungshilfen</w:t>
            </w:r>
          </w:p>
        </w:tc>
        <w:tc>
          <w:tcPr>
            <w:tcW w:w="3018" w:type="dxa"/>
          </w:tcPr>
          <w:p w14:paraId="36F15C6A" w14:textId="108B39EE" w:rsidR="001A7068" w:rsidRDefault="001A7068" w:rsidP="001A7068">
            <w:r>
              <w:t>Übersetzung</w:t>
            </w:r>
          </w:p>
        </w:tc>
      </w:tr>
      <w:tr w:rsidR="001A7068" w14:paraId="65D64F63" w14:textId="77777777" w:rsidTr="001A7068">
        <w:tc>
          <w:tcPr>
            <w:tcW w:w="3017" w:type="dxa"/>
          </w:tcPr>
          <w:p w14:paraId="7F78F29B" w14:textId="77777777" w:rsidR="00417791" w:rsidRDefault="001E7B52" w:rsidP="001A7068">
            <w:pPr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Hercules</w:t>
            </w:r>
            <w:r w:rsidR="006579C2" w:rsidRPr="006579C2">
              <w:rPr>
                <w:sz w:val="24"/>
                <w:szCs w:val="24"/>
                <w:lang w:val="sq-AL"/>
              </w:rPr>
              <w:t xml:space="preserve"> </w:t>
            </w:r>
            <w:r>
              <w:rPr>
                <w:sz w:val="24"/>
                <w:szCs w:val="24"/>
                <w:lang w:val="sq-AL"/>
              </w:rPr>
              <w:t>animum non demisit</w:t>
            </w:r>
            <w:r w:rsidR="00417791">
              <w:rPr>
                <w:sz w:val="24"/>
                <w:szCs w:val="24"/>
                <w:lang w:val="sq-AL"/>
              </w:rPr>
              <w:t>.</w:t>
            </w:r>
          </w:p>
          <w:p w14:paraId="6F7559E1" w14:textId="5E00307F" w:rsidR="001A7068" w:rsidRPr="006579C2" w:rsidRDefault="00417791" w:rsidP="001A7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q-AL"/>
              </w:rPr>
              <w:t>C</w:t>
            </w:r>
            <w:r w:rsidR="006579C2" w:rsidRPr="006579C2">
              <w:rPr>
                <w:sz w:val="24"/>
                <w:szCs w:val="24"/>
                <w:lang w:val="sq-AL"/>
              </w:rPr>
              <w:t>um ad inferos venisset</w:t>
            </w:r>
            <w:r w:rsidR="006579C2" w:rsidRPr="006579C2">
              <w:rPr>
                <w:sz w:val="24"/>
                <w:szCs w:val="24"/>
              </w:rPr>
              <w:t xml:space="preserve">, a </w:t>
            </w:r>
            <w:proofErr w:type="spellStart"/>
            <w:r w:rsidR="006579C2" w:rsidRPr="006579C2">
              <w:rPr>
                <w:sz w:val="24"/>
                <w:szCs w:val="24"/>
              </w:rPr>
              <w:t>Plutone</w:t>
            </w:r>
            <w:proofErr w:type="spellEnd"/>
            <w:r w:rsidR="006579C2" w:rsidRPr="006579C2">
              <w:rPr>
                <w:sz w:val="24"/>
                <w:szCs w:val="24"/>
              </w:rPr>
              <w:t xml:space="preserve">, </w:t>
            </w:r>
            <w:r w:rsidR="006579C2" w:rsidRPr="006579C2">
              <w:rPr>
                <w:sz w:val="24"/>
                <w:szCs w:val="24"/>
                <w:lang w:val="sq-AL"/>
              </w:rPr>
              <w:t>domino et rege inferorum,</w:t>
            </w:r>
            <w:r w:rsidR="006579C2" w:rsidRPr="006579C2">
              <w:rPr>
                <w:sz w:val="24"/>
                <w:szCs w:val="24"/>
              </w:rPr>
              <w:t xml:space="preserve"> </w:t>
            </w:r>
            <w:proofErr w:type="spellStart"/>
            <w:r w:rsidR="006579C2" w:rsidRPr="006579C2">
              <w:rPr>
                <w:sz w:val="24"/>
                <w:szCs w:val="24"/>
              </w:rPr>
              <w:t>petivit</w:t>
            </w:r>
            <w:proofErr w:type="spellEnd"/>
            <w:r w:rsidR="006579C2" w:rsidRPr="006579C2">
              <w:rPr>
                <w:sz w:val="24"/>
                <w:szCs w:val="24"/>
              </w:rPr>
              <w:t xml:space="preserve">, </w:t>
            </w:r>
            <w:proofErr w:type="spellStart"/>
            <w:r w:rsidR="006579C2" w:rsidRPr="006579C2">
              <w:rPr>
                <w:sz w:val="24"/>
                <w:szCs w:val="24"/>
              </w:rPr>
              <w:t>ut</w:t>
            </w:r>
            <w:proofErr w:type="spellEnd"/>
            <w:r w:rsidR="006579C2" w:rsidRPr="006579C2">
              <w:rPr>
                <w:sz w:val="24"/>
                <w:szCs w:val="24"/>
              </w:rPr>
              <w:t xml:space="preserve"> </w:t>
            </w:r>
            <w:proofErr w:type="spellStart"/>
            <w:r w:rsidR="006579C2" w:rsidRPr="006579C2">
              <w:rPr>
                <w:sz w:val="24"/>
                <w:szCs w:val="24"/>
              </w:rPr>
              <w:t>ei</w:t>
            </w:r>
            <w:proofErr w:type="spellEnd"/>
            <w:r w:rsidR="006579C2" w:rsidRPr="006579C2">
              <w:rPr>
                <w:sz w:val="24"/>
                <w:szCs w:val="24"/>
              </w:rPr>
              <w:t xml:space="preserve"> canem </w:t>
            </w:r>
            <w:proofErr w:type="spellStart"/>
            <w:r w:rsidR="006579C2" w:rsidRPr="006579C2">
              <w:rPr>
                <w:sz w:val="24"/>
                <w:szCs w:val="24"/>
              </w:rPr>
              <w:t>traderet</w:t>
            </w:r>
            <w:proofErr w:type="spellEnd"/>
            <w:r w:rsidR="006579C2" w:rsidRPr="006579C2">
              <w:rPr>
                <w:sz w:val="24"/>
                <w:szCs w:val="24"/>
              </w:rPr>
              <w:t>.</w:t>
            </w:r>
          </w:p>
          <w:p w14:paraId="4B708C6A" w14:textId="0405F857" w:rsidR="006579C2" w:rsidRPr="006579C2" w:rsidRDefault="006579C2" w:rsidP="001A7068">
            <w:pPr>
              <w:rPr>
                <w:sz w:val="24"/>
                <w:szCs w:val="24"/>
                <w:lang w:val="sq-AL"/>
              </w:rPr>
            </w:pPr>
            <w:proofErr w:type="spellStart"/>
            <w:r w:rsidRPr="006579C2">
              <w:rPr>
                <w:sz w:val="24"/>
                <w:szCs w:val="24"/>
              </w:rPr>
              <w:t>Qui</w:t>
            </w:r>
            <w:proofErr w:type="spellEnd"/>
            <w:r w:rsidRPr="006579C2">
              <w:rPr>
                <w:sz w:val="24"/>
                <w:szCs w:val="24"/>
              </w:rPr>
              <w:t xml:space="preserve"> </w:t>
            </w:r>
            <w:proofErr w:type="spellStart"/>
            <w:r w:rsidRPr="006579C2">
              <w:rPr>
                <w:sz w:val="24"/>
                <w:szCs w:val="24"/>
              </w:rPr>
              <w:t>autem</w:t>
            </w:r>
            <w:proofErr w:type="spellEnd"/>
            <w:r w:rsidRPr="006579C2">
              <w:rPr>
                <w:sz w:val="24"/>
                <w:szCs w:val="24"/>
              </w:rPr>
              <w:t xml:space="preserve"> </w:t>
            </w:r>
            <w:proofErr w:type="spellStart"/>
            <w:r w:rsidRPr="006579C2">
              <w:rPr>
                <w:sz w:val="24"/>
                <w:szCs w:val="24"/>
              </w:rPr>
              <w:t>negavit</w:t>
            </w:r>
            <w:proofErr w:type="spellEnd"/>
            <w:r w:rsidRPr="006579C2">
              <w:rPr>
                <w:sz w:val="24"/>
                <w:szCs w:val="24"/>
              </w:rPr>
              <w:t>.</w:t>
            </w:r>
          </w:p>
        </w:tc>
        <w:tc>
          <w:tcPr>
            <w:tcW w:w="3017" w:type="dxa"/>
          </w:tcPr>
          <w:p w14:paraId="29816DA0" w14:textId="48540774" w:rsidR="001E7B52" w:rsidRDefault="001E7B52" w:rsidP="001A7068">
            <w:pPr>
              <w:pStyle w:val="vokangabe2"/>
              <w:rPr>
                <w:lang w:val="de-DE"/>
              </w:rPr>
            </w:pPr>
            <w:r>
              <w:rPr>
                <w:lang w:val="de-DE"/>
              </w:rPr>
              <w:t>animum demittere (demitto, demisi, demissum): den Mut sinken lassen, den Mut verlieren.</w:t>
            </w:r>
          </w:p>
          <w:p w14:paraId="5AAED969" w14:textId="1C15188B" w:rsidR="00A87C25" w:rsidRDefault="00A87C25" w:rsidP="001A7068">
            <w:pPr>
              <w:pStyle w:val="vokangabe2"/>
              <w:rPr>
                <w:lang w:val="de-DE"/>
              </w:rPr>
            </w:pPr>
            <w:r>
              <w:rPr>
                <w:lang w:val="de-DE"/>
              </w:rPr>
              <w:t>dominus</w:t>
            </w:r>
            <w:r w:rsidRPr="00A87C25">
              <w:rPr>
                <w:sz w:val="32"/>
                <w:szCs w:val="32"/>
                <w:lang w:val="de-DE"/>
              </w:rPr>
              <w:t>*</w:t>
            </w:r>
            <w:r>
              <w:rPr>
                <w:lang w:val="de-DE"/>
              </w:rPr>
              <w:t>: der Herr</w:t>
            </w:r>
          </w:p>
          <w:p w14:paraId="121AB814" w14:textId="37060833" w:rsidR="001A7068" w:rsidRDefault="00470991" w:rsidP="001A7068">
            <w:pPr>
              <w:pStyle w:val="vokangabe2"/>
              <w:rPr>
                <w:lang w:val="de-DE"/>
              </w:rPr>
            </w:pPr>
            <w:r>
              <w:rPr>
                <w:lang w:val="de-DE"/>
              </w:rPr>
              <w:t>Pluto, Plutonis, m.: Gott der Unterwelt (</w:t>
            </w:r>
            <w:r w:rsidR="001E7B52">
              <w:rPr>
                <w:lang w:val="de-DE"/>
              </w:rPr>
              <w:t>er wird meistens mit dem Unterweltgott Hades gleichgesetzt.</w:t>
            </w:r>
            <w:r>
              <w:rPr>
                <w:lang w:val="de-DE"/>
              </w:rPr>
              <w:t>)</w:t>
            </w:r>
          </w:p>
          <w:p w14:paraId="7D755F18" w14:textId="403DC0AA" w:rsidR="00A87C25" w:rsidRDefault="00A87C25" w:rsidP="001A7068">
            <w:pPr>
              <w:pStyle w:val="vokangabe2"/>
              <w:rPr>
                <w:lang w:val="de-DE"/>
              </w:rPr>
            </w:pPr>
            <w:r>
              <w:rPr>
                <w:lang w:val="de-DE"/>
              </w:rPr>
              <w:t>tradere, trado, tradidi, traditum</w:t>
            </w:r>
            <w:r w:rsidRPr="00A87C25">
              <w:rPr>
                <w:sz w:val="32"/>
                <w:szCs w:val="32"/>
                <w:lang w:val="de-DE"/>
              </w:rPr>
              <w:t>*</w:t>
            </w:r>
            <w:r>
              <w:rPr>
                <w:lang w:val="de-DE"/>
              </w:rPr>
              <w:t>: übergeben, ausliefern, überliefern</w:t>
            </w:r>
          </w:p>
          <w:p w14:paraId="37C7AE87" w14:textId="7D554E65" w:rsidR="00470991" w:rsidRDefault="00470991" w:rsidP="00A87C25">
            <w:pPr>
              <w:pStyle w:val="vokangabe2"/>
              <w:rPr>
                <w:lang w:val="de-DE"/>
              </w:rPr>
            </w:pPr>
          </w:p>
        </w:tc>
        <w:tc>
          <w:tcPr>
            <w:tcW w:w="3018" w:type="dxa"/>
          </w:tcPr>
          <w:p w14:paraId="027F39BA" w14:textId="77777777" w:rsidR="001A7068" w:rsidRDefault="001A7068" w:rsidP="001A7068"/>
        </w:tc>
      </w:tr>
      <w:tr w:rsidR="006579C2" w14:paraId="7E8286B1" w14:textId="77777777" w:rsidTr="001A7068">
        <w:tc>
          <w:tcPr>
            <w:tcW w:w="3017" w:type="dxa"/>
          </w:tcPr>
          <w:p w14:paraId="275FA816" w14:textId="19E997ED" w:rsidR="006579C2" w:rsidRPr="006579C2" w:rsidRDefault="006579C2" w:rsidP="001A7068">
            <w:pPr>
              <w:rPr>
                <w:sz w:val="24"/>
                <w:szCs w:val="24"/>
                <w:lang w:val="sq-AL"/>
              </w:rPr>
            </w:pPr>
            <w:proofErr w:type="spellStart"/>
            <w:r w:rsidRPr="006579C2">
              <w:rPr>
                <w:sz w:val="24"/>
                <w:szCs w:val="24"/>
              </w:rPr>
              <w:lastRenderedPageBreak/>
              <w:t>Itaque</w:t>
            </w:r>
            <w:proofErr w:type="spellEnd"/>
            <w:r w:rsidRPr="006579C2">
              <w:rPr>
                <w:sz w:val="24"/>
                <w:szCs w:val="24"/>
              </w:rPr>
              <w:t xml:space="preserve"> </w:t>
            </w:r>
            <w:r w:rsidRPr="006579C2">
              <w:rPr>
                <w:sz w:val="24"/>
                <w:szCs w:val="24"/>
                <w:lang w:val="sq-AL"/>
              </w:rPr>
              <w:t>Hercules eum sagitta vulneravit, ut ille tandem precibus Herculis cederet.</w:t>
            </w:r>
          </w:p>
        </w:tc>
        <w:tc>
          <w:tcPr>
            <w:tcW w:w="3017" w:type="dxa"/>
          </w:tcPr>
          <w:p w14:paraId="506794AD" w14:textId="77777777" w:rsidR="00A87C25" w:rsidRDefault="00A87C25" w:rsidP="00A87C25">
            <w:pPr>
              <w:pStyle w:val="vokangabe2"/>
              <w:rPr>
                <w:lang w:val="de-DE"/>
              </w:rPr>
            </w:pPr>
            <w:r>
              <w:rPr>
                <w:lang w:val="de-DE"/>
              </w:rPr>
              <w:t>sagitta, sagittae, f.: der Pfeil</w:t>
            </w:r>
          </w:p>
          <w:p w14:paraId="4CAD7BF7" w14:textId="1DECD18D" w:rsidR="0061035E" w:rsidRDefault="0061035E" w:rsidP="0061035E">
            <w:pPr>
              <w:pStyle w:val="vokangabe2"/>
              <w:rPr>
                <w:lang w:val="de-DE"/>
              </w:rPr>
            </w:pPr>
            <w:r>
              <w:rPr>
                <w:lang w:val="de-DE"/>
              </w:rPr>
              <w:t>vulnerare</w:t>
            </w:r>
            <w:r w:rsidR="00A87C25" w:rsidRPr="00A87C25">
              <w:rPr>
                <w:sz w:val="32"/>
                <w:szCs w:val="32"/>
                <w:lang w:val="de-DE"/>
              </w:rPr>
              <w:t>*</w:t>
            </w:r>
            <w:r>
              <w:rPr>
                <w:lang w:val="de-DE"/>
              </w:rPr>
              <w:t>: verletzen</w:t>
            </w:r>
          </w:p>
          <w:p w14:paraId="36799590" w14:textId="106F6E72" w:rsidR="0061035E" w:rsidRDefault="0061035E" w:rsidP="0061035E">
            <w:pPr>
              <w:pStyle w:val="vokangabe2"/>
              <w:rPr>
                <w:lang w:val="de-DE"/>
              </w:rPr>
            </w:pPr>
            <w:r>
              <w:rPr>
                <w:lang w:val="de-DE"/>
              </w:rPr>
              <w:t>preces, precum, f.</w:t>
            </w:r>
            <w:r w:rsidR="00A87C25" w:rsidRPr="00A87C25">
              <w:rPr>
                <w:sz w:val="32"/>
                <w:szCs w:val="32"/>
                <w:lang w:val="de-DE"/>
              </w:rPr>
              <w:t>*</w:t>
            </w:r>
            <w:r>
              <w:rPr>
                <w:lang w:val="de-DE"/>
              </w:rPr>
              <w:t>: die Bitten</w:t>
            </w:r>
          </w:p>
          <w:p w14:paraId="1BC01781" w14:textId="53315F2B" w:rsidR="006579C2" w:rsidRDefault="0061035E" w:rsidP="0061035E">
            <w:pPr>
              <w:pStyle w:val="vokangabe2"/>
              <w:rPr>
                <w:lang w:val="de-DE"/>
              </w:rPr>
            </w:pPr>
            <w:r>
              <w:rPr>
                <w:lang w:val="de-DE"/>
              </w:rPr>
              <w:t>cedere, cedo, cessi, cessum</w:t>
            </w:r>
            <w:r w:rsidR="00A87C25">
              <w:rPr>
                <w:lang w:val="de-DE"/>
              </w:rPr>
              <w:t xml:space="preserve"> </w:t>
            </w:r>
            <w:r w:rsidR="00A87C25" w:rsidRPr="00A87C25">
              <w:rPr>
                <w:sz w:val="32"/>
                <w:szCs w:val="32"/>
                <w:lang w:val="de-DE"/>
              </w:rPr>
              <w:t>*</w:t>
            </w:r>
            <w:r>
              <w:rPr>
                <w:lang w:val="de-DE"/>
              </w:rPr>
              <w:t>: nachgeben</w:t>
            </w:r>
          </w:p>
        </w:tc>
        <w:tc>
          <w:tcPr>
            <w:tcW w:w="3018" w:type="dxa"/>
          </w:tcPr>
          <w:p w14:paraId="33527C97" w14:textId="527650E8" w:rsidR="006579C2" w:rsidRDefault="00A87C25" w:rsidP="001A7068">
            <w:r>
              <w:t xml:space="preserve"> </w:t>
            </w:r>
          </w:p>
        </w:tc>
      </w:tr>
      <w:tr w:rsidR="001A7068" w14:paraId="364A0B65" w14:textId="77777777" w:rsidTr="001A7068">
        <w:tc>
          <w:tcPr>
            <w:tcW w:w="3017" w:type="dxa"/>
          </w:tcPr>
          <w:p w14:paraId="73896FA9" w14:textId="58B7EEBA" w:rsidR="00470991" w:rsidRPr="006579C2" w:rsidRDefault="001A7068" w:rsidP="001A7068">
            <w:pPr>
              <w:rPr>
                <w:sz w:val="24"/>
                <w:szCs w:val="24"/>
                <w:lang w:val="sq-AL"/>
              </w:rPr>
            </w:pPr>
            <w:r w:rsidRPr="006579C2">
              <w:rPr>
                <w:sz w:val="24"/>
                <w:szCs w:val="24"/>
                <w:lang w:val="sq-AL"/>
              </w:rPr>
              <w:t>Hercules</w:t>
            </w:r>
            <w:r w:rsidR="00417791">
              <w:rPr>
                <w:sz w:val="24"/>
                <w:szCs w:val="24"/>
                <w:lang w:val="sq-AL"/>
              </w:rPr>
              <w:t xml:space="preserve">, cum </w:t>
            </w:r>
            <w:r w:rsidRPr="006579C2">
              <w:rPr>
                <w:sz w:val="24"/>
                <w:szCs w:val="24"/>
                <w:lang w:val="sq-AL"/>
              </w:rPr>
              <w:t xml:space="preserve">iniustus </w:t>
            </w:r>
            <w:r w:rsidR="00417791" w:rsidRPr="006579C2">
              <w:rPr>
                <w:sz w:val="24"/>
                <w:szCs w:val="24"/>
                <w:lang w:val="sq-AL"/>
              </w:rPr>
              <w:t xml:space="preserve">non </w:t>
            </w:r>
            <w:r w:rsidRPr="006579C2">
              <w:rPr>
                <w:sz w:val="24"/>
                <w:szCs w:val="24"/>
                <w:lang w:val="sq-AL"/>
              </w:rPr>
              <w:t xml:space="preserve">videri </w:t>
            </w:r>
            <w:r w:rsidR="00417791">
              <w:rPr>
                <w:sz w:val="24"/>
                <w:szCs w:val="24"/>
                <w:lang w:val="sq-AL"/>
              </w:rPr>
              <w:t>vellet,</w:t>
            </w:r>
          </w:p>
          <w:p w14:paraId="746DAD09" w14:textId="5639F628" w:rsidR="00470991" w:rsidRDefault="001A7068" w:rsidP="001A7068">
            <w:pPr>
              <w:rPr>
                <w:sz w:val="24"/>
                <w:szCs w:val="24"/>
                <w:lang w:val="sq-AL"/>
              </w:rPr>
            </w:pPr>
            <w:r w:rsidRPr="006579C2">
              <w:rPr>
                <w:sz w:val="24"/>
                <w:szCs w:val="24"/>
              </w:rPr>
              <w:t>„C</w:t>
            </w:r>
            <w:r w:rsidRPr="006579C2">
              <w:rPr>
                <w:sz w:val="24"/>
                <w:szCs w:val="24"/>
                <w:lang w:val="sq-AL"/>
              </w:rPr>
              <w:t>anem</w:t>
            </w:r>
            <w:r w:rsidR="00417791">
              <w:rPr>
                <w:sz w:val="24"/>
                <w:szCs w:val="24"/>
                <w:lang w:val="sq-AL"/>
              </w:rPr>
              <w:t>”, inquit,</w:t>
            </w:r>
            <w:r w:rsidRPr="006579C2">
              <w:rPr>
                <w:sz w:val="24"/>
                <w:szCs w:val="24"/>
                <w:lang w:val="sq-AL"/>
              </w:rPr>
              <w:t xml:space="preserve"> </w:t>
            </w:r>
            <w:r w:rsidR="00417791" w:rsidRPr="006579C2">
              <w:rPr>
                <w:sz w:val="24"/>
                <w:szCs w:val="24"/>
              </w:rPr>
              <w:t>„</w:t>
            </w:r>
            <w:r w:rsidRPr="006579C2">
              <w:rPr>
                <w:sz w:val="24"/>
                <w:szCs w:val="24"/>
                <w:lang w:val="sq-AL"/>
              </w:rPr>
              <w:t>tibi reddam!</w:t>
            </w:r>
          </w:p>
          <w:p w14:paraId="08A54BA7" w14:textId="77777777" w:rsidR="00A87C25" w:rsidRPr="006579C2" w:rsidRDefault="00A87C25" w:rsidP="001A7068">
            <w:pPr>
              <w:rPr>
                <w:sz w:val="24"/>
                <w:szCs w:val="24"/>
                <w:lang w:val="sq-AL"/>
              </w:rPr>
            </w:pPr>
          </w:p>
          <w:p w14:paraId="00239060" w14:textId="24629152" w:rsidR="001A7068" w:rsidRPr="006579C2" w:rsidRDefault="001A7068" w:rsidP="001A7068">
            <w:pPr>
              <w:rPr>
                <w:sz w:val="24"/>
                <w:szCs w:val="24"/>
                <w:lang w:val="sq-AL"/>
              </w:rPr>
            </w:pPr>
            <w:r w:rsidRPr="006579C2">
              <w:rPr>
                <w:sz w:val="24"/>
                <w:szCs w:val="24"/>
                <w:lang w:val="sq-AL"/>
              </w:rPr>
              <w:t xml:space="preserve">Omnes mortales immortalesque sciunt me promissa semper servare.” </w:t>
            </w:r>
          </w:p>
          <w:p w14:paraId="5AC4C8C9" w14:textId="77777777" w:rsidR="001A7068" w:rsidRPr="006579C2" w:rsidRDefault="001A7068" w:rsidP="001A7068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017" w:type="dxa"/>
          </w:tcPr>
          <w:p w14:paraId="038CBE4C" w14:textId="0D0F12E6" w:rsidR="001A7068" w:rsidRDefault="00470991" w:rsidP="001A7068">
            <w:pPr>
              <w:pStyle w:val="vokangabe2"/>
              <w:rPr>
                <w:lang w:val="de-DE"/>
              </w:rPr>
            </w:pPr>
            <w:r>
              <w:rPr>
                <w:lang w:val="de-DE"/>
              </w:rPr>
              <w:t>videri: scheinen</w:t>
            </w:r>
          </w:p>
          <w:p w14:paraId="1654ADC4" w14:textId="27A21795" w:rsidR="00115790" w:rsidRDefault="00115790" w:rsidP="001A7068">
            <w:pPr>
              <w:pStyle w:val="vokangabe2"/>
              <w:rPr>
                <w:lang w:val="de-DE"/>
              </w:rPr>
            </w:pPr>
            <w:r>
              <w:rPr>
                <w:lang w:val="de-DE"/>
              </w:rPr>
              <w:t>reddere, reddo, reddidi, redditum</w:t>
            </w:r>
            <w:r w:rsidR="00A87C25" w:rsidRPr="00A87C25">
              <w:rPr>
                <w:sz w:val="32"/>
                <w:szCs w:val="32"/>
                <w:lang w:val="de-DE"/>
              </w:rPr>
              <w:t>*</w:t>
            </w:r>
            <w:r>
              <w:rPr>
                <w:lang w:val="de-DE"/>
              </w:rPr>
              <w:t>: zurückgeben</w:t>
            </w:r>
          </w:p>
          <w:p w14:paraId="033A077D" w14:textId="74D19731" w:rsidR="00470991" w:rsidRDefault="00470991" w:rsidP="001A7068">
            <w:pPr>
              <w:pStyle w:val="vokangabe2"/>
              <w:rPr>
                <w:lang w:val="de-DE"/>
              </w:rPr>
            </w:pPr>
            <w:r>
              <w:rPr>
                <w:lang w:val="de-DE"/>
              </w:rPr>
              <w:t>mortales</w:t>
            </w:r>
            <w:r w:rsidR="00A87C25" w:rsidRPr="00A87C25">
              <w:rPr>
                <w:sz w:val="32"/>
                <w:szCs w:val="32"/>
                <w:lang w:val="de-DE"/>
              </w:rPr>
              <w:t>*</w:t>
            </w:r>
            <w:r>
              <w:rPr>
                <w:lang w:val="de-DE"/>
              </w:rPr>
              <w:t>: die Sterblichen</w:t>
            </w:r>
          </w:p>
          <w:p w14:paraId="29764C60" w14:textId="77777777" w:rsidR="00470991" w:rsidRDefault="00470991" w:rsidP="001A7068">
            <w:pPr>
              <w:pStyle w:val="vokangabe2"/>
              <w:rPr>
                <w:lang w:val="de-DE"/>
              </w:rPr>
            </w:pPr>
            <w:r>
              <w:rPr>
                <w:lang w:val="de-DE"/>
              </w:rPr>
              <w:t>immortales: die Unsterblichen</w:t>
            </w:r>
          </w:p>
          <w:p w14:paraId="09D6046E" w14:textId="77777777" w:rsidR="00470991" w:rsidRDefault="00470991" w:rsidP="001A7068">
            <w:pPr>
              <w:pStyle w:val="vokangabe2"/>
              <w:rPr>
                <w:lang w:val="de-DE"/>
              </w:rPr>
            </w:pPr>
            <w:r>
              <w:rPr>
                <w:lang w:val="de-DE"/>
              </w:rPr>
              <w:t>promissum: das Versprechen</w:t>
            </w:r>
          </w:p>
          <w:p w14:paraId="4A57AA99" w14:textId="212FC24D" w:rsidR="00470991" w:rsidRDefault="00470991" w:rsidP="001A7068">
            <w:pPr>
              <w:pStyle w:val="vokangabe2"/>
              <w:rPr>
                <w:lang w:val="de-DE"/>
              </w:rPr>
            </w:pPr>
            <w:r>
              <w:rPr>
                <w:lang w:val="de-DE"/>
              </w:rPr>
              <w:t>servare: (allgemein) bewahren</w:t>
            </w:r>
            <w:r w:rsidR="00A87C25" w:rsidRPr="00A87C25">
              <w:rPr>
                <w:sz w:val="32"/>
                <w:szCs w:val="32"/>
                <w:lang w:val="de-DE"/>
              </w:rPr>
              <w:t>*</w:t>
            </w:r>
            <w:r>
              <w:rPr>
                <w:lang w:val="de-DE"/>
              </w:rPr>
              <w:t>, retten; (bei Versprechungen) einhalten</w:t>
            </w:r>
          </w:p>
        </w:tc>
        <w:tc>
          <w:tcPr>
            <w:tcW w:w="3018" w:type="dxa"/>
          </w:tcPr>
          <w:p w14:paraId="203898C9" w14:textId="77777777" w:rsidR="001A7068" w:rsidRDefault="001A7068" w:rsidP="001A7068"/>
        </w:tc>
      </w:tr>
      <w:tr w:rsidR="00470991" w14:paraId="2DF04884" w14:textId="77777777" w:rsidTr="001A7068">
        <w:tc>
          <w:tcPr>
            <w:tcW w:w="3017" w:type="dxa"/>
          </w:tcPr>
          <w:p w14:paraId="6CB720ED" w14:textId="225C5E17" w:rsidR="00470991" w:rsidRPr="006579C2" w:rsidRDefault="00470991" w:rsidP="001A7068">
            <w:pPr>
              <w:rPr>
                <w:sz w:val="24"/>
                <w:szCs w:val="24"/>
                <w:lang w:val="sq-AL"/>
              </w:rPr>
            </w:pPr>
            <w:r w:rsidRPr="006579C2">
              <w:rPr>
                <w:sz w:val="24"/>
                <w:szCs w:val="24"/>
                <w:lang w:val="sq-AL"/>
              </w:rPr>
              <w:t>Postquam Cerberum domuit, profecto eum Plutoni reddidit.</w:t>
            </w:r>
          </w:p>
        </w:tc>
        <w:tc>
          <w:tcPr>
            <w:tcW w:w="3017" w:type="dxa"/>
          </w:tcPr>
          <w:p w14:paraId="6A9A7373" w14:textId="77777777" w:rsidR="00470991" w:rsidRDefault="00470991" w:rsidP="001A7068">
            <w:pPr>
              <w:pStyle w:val="vokangabe2"/>
              <w:rPr>
                <w:lang w:val="de-DE"/>
              </w:rPr>
            </w:pPr>
            <w:r>
              <w:rPr>
                <w:lang w:val="de-DE"/>
              </w:rPr>
              <w:t>domare, domo, domui, domitum: zähmen</w:t>
            </w:r>
          </w:p>
          <w:p w14:paraId="3044CC6E" w14:textId="77777777" w:rsidR="00470991" w:rsidRDefault="00470991" w:rsidP="001A7068">
            <w:pPr>
              <w:pStyle w:val="vokangabe2"/>
              <w:rPr>
                <w:lang w:val="de-DE"/>
              </w:rPr>
            </w:pPr>
            <w:r>
              <w:rPr>
                <w:lang w:val="de-DE"/>
              </w:rPr>
              <w:t>profecto: in der Tat, tatsächlich</w:t>
            </w:r>
          </w:p>
          <w:p w14:paraId="48772832" w14:textId="5260B770" w:rsidR="00470991" w:rsidRDefault="00470991" w:rsidP="00115790">
            <w:pPr>
              <w:pStyle w:val="vokangabe2"/>
              <w:ind w:left="0" w:firstLine="0"/>
              <w:rPr>
                <w:lang w:val="de-DE"/>
              </w:rPr>
            </w:pPr>
          </w:p>
        </w:tc>
        <w:tc>
          <w:tcPr>
            <w:tcW w:w="3018" w:type="dxa"/>
          </w:tcPr>
          <w:p w14:paraId="1E4DE8FF" w14:textId="77777777" w:rsidR="00470991" w:rsidRDefault="00470991" w:rsidP="001A7068"/>
        </w:tc>
      </w:tr>
    </w:tbl>
    <w:p w14:paraId="6D20D978" w14:textId="2C17A687" w:rsidR="001A7068" w:rsidRPr="0040335B" w:rsidRDefault="001A7068" w:rsidP="001A7068"/>
    <w:p w14:paraId="2FA78F8B" w14:textId="77777777" w:rsidR="00027B32" w:rsidRDefault="00027B32"/>
    <w:sectPr w:rsidR="00027B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90E10" w14:textId="77777777" w:rsidR="00770F65" w:rsidRDefault="00770F65" w:rsidP="001A7068">
      <w:pPr>
        <w:spacing w:after="0" w:line="240" w:lineRule="auto"/>
      </w:pPr>
      <w:r>
        <w:separator/>
      </w:r>
    </w:p>
  </w:endnote>
  <w:endnote w:type="continuationSeparator" w:id="0">
    <w:p w14:paraId="4270F874" w14:textId="77777777" w:rsidR="00770F65" w:rsidRDefault="00770F65" w:rsidP="001A7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B9938" w14:textId="77777777" w:rsidR="00862D15" w:rsidRDefault="00862D1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B5287" w14:textId="400AE8E6" w:rsidR="001A7068" w:rsidRDefault="001A7068">
    <w:pPr>
      <w:pStyle w:val="Fuzeile"/>
    </w:pPr>
    <w:r>
      <w:t>Moodle-Kurs: Hercules holt Cerberus aus der Unterwelt</w:t>
    </w:r>
    <w:r w:rsidR="006361A0">
      <w:t xml:space="preserve"> – </w:t>
    </w:r>
    <w:hyperlink r:id="rId1" w:history="1">
      <w:r w:rsidR="006361A0" w:rsidRPr="00E65C06">
        <w:rPr>
          <w:rStyle w:val="Hyperlink"/>
        </w:rPr>
        <w:t>www.latein-bw.de</w:t>
      </w:r>
    </w:hyperlink>
    <w:r w:rsidR="006361A0">
      <w:t xml:space="preserve"> </w:t>
    </w:r>
    <w:r>
      <w:tab/>
      <w:t>[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963A6" w14:textId="77777777" w:rsidR="00862D15" w:rsidRDefault="00862D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29740" w14:textId="77777777" w:rsidR="00770F65" w:rsidRDefault="00770F65" w:rsidP="001A7068">
      <w:pPr>
        <w:spacing w:after="0" w:line="240" w:lineRule="auto"/>
      </w:pPr>
      <w:r>
        <w:separator/>
      </w:r>
    </w:p>
  </w:footnote>
  <w:footnote w:type="continuationSeparator" w:id="0">
    <w:p w14:paraId="40BA4CE3" w14:textId="77777777" w:rsidR="00770F65" w:rsidRDefault="00770F65" w:rsidP="001A7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680D8" w14:textId="77777777" w:rsidR="00862D15" w:rsidRDefault="00862D1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2"/>
      <w:gridCol w:w="2600"/>
      <w:gridCol w:w="3826"/>
    </w:tblGrid>
    <w:tr w:rsidR="00862D15" w:rsidRPr="002C2BC2" w14:paraId="07486B13" w14:textId="77777777" w:rsidTr="00B655C1">
      <w:trPr>
        <w:trHeight w:val="794"/>
      </w:trPr>
      <w:tc>
        <w:tcPr>
          <w:tcW w:w="3212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4E9672E" w14:textId="77777777" w:rsidR="00862D15" w:rsidRDefault="00862D15" w:rsidP="00862D15"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040677C" wp14:editId="41CEC0A3">
                <wp:simplePos x="0" y="0"/>
                <wp:positionH relativeFrom="column">
                  <wp:posOffset>69840</wp:posOffset>
                </wp:positionH>
                <wp:positionV relativeFrom="paragraph">
                  <wp:posOffset>10800</wp:posOffset>
                </wp:positionV>
                <wp:extent cx="1522800" cy="485640"/>
                <wp:effectExtent l="0" t="0" r="1200" b="0"/>
                <wp:wrapTopAndBottom/>
                <wp:docPr id="3" name="HTTP://WWW.SCHULE-BW.DE/FAECHER-UND-SCHULARTEN/SPRACHEN-UND-LITERATUR/LAT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800" cy="48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9283A7C" w14:textId="77777777" w:rsidR="00862D15" w:rsidRPr="0071318D" w:rsidRDefault="00862D15" w:rsidP="00862D15">
          <w:pPr>
            <w:jc w:val="right"/>
          </w:pPr>
        </w:p>
      </w:tc>
      <w:tc>
        <w:tcPr>
          <w:tcW w:w="3826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7587ABE" w14:textId="77777777" w:rsidR="00862D15" w:rsidRPr="0071318D" w:rsidRDefault="00862D15" w:rsidP="00862D15">
          <w:pPr>
            <w:jc w:val="right"/>
            <w:rPr>
              <w:rFonts w:eastAsia="Times New Roman"/>
              <w:lang w:eastAsia="de-DE" w:bidi="ar-SA"/>
            </w:rPr>
          </w:pPr>
          <w:r w:rsidRPr="0071318D">
            <w:rPr>
              <w:rFonts w:ascii="Arial Rounded MT Bold" w:hAnsi="Arial Rounded MT Bold"/>
            </w:rPr>
            <w:t>Moodle-Kurs (Latein):</w:t>
          </w:r>
          <w:r w:rsidRPr="0071318D">
            <w:rPr>
              <w:rFonts w:ascii="Arial Rounded MT Bold" w:hAnsi="Arial Rounded MT Bold"/>
            </w:rPr>
            <w:br/>
            <w:t>Herkules in der Unterwelt</w:t>
          </w:r>
        </w:p>
        <w:p w14:paraId="7869A0BD" w14:textId="77777777" w:rsidR="00862D15" w:rsidRPr="0071318D" w:rsidRDefault="00862D15" w:rsidP="00862D15">
          <w:pPr>
            <w:jc w:val="right"/>
            <w:rPr>
              <w:rFonts w:ascii="Arial Rounded MT Bold" w:hAnsi="Arial Rounded MT Bold"/>
              <w:lang w:val="la-Latn"/>
            </w:rPr>
          </w:pPr>
        </w:p>
      </w:tc>
    </w:tr>
  </w:tbl>
  <w:p w14:paraId="274D8BB2" w14:textId="77777777" w:rsidR="00862D15" w:rsidRPr="00862D15" w:rsidRDefault="00862D15">
    <w:pPr>
      <w:pStyle w:val="Kopfzeile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60C7C" w14:textId="77777777" w:rsidR="00862D15" w:rsidRDefault="00862D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332BC5"/>
    <w:multiLevelType w:val="hybridMultilevel"/>
    <w:tmpl w:val="B4E8A5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9221D"/>
    <w:multiLevelType w:val="hybridMultilevel"/>
    <w:tmpl w:val="B630D9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74481"/>
    <w:multiLevelType w:val="hybridMultilevel"/>
    <w:tmpl w:val="A56C90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9D1"/>
    <w:rsid w:val="00027B32"/>
    <w:rsid w:val="000A37FA"/>
    <w:rsid w:val="000D6EF8"/>
    <w:rsid w:val="00115790"/>
    <w:rsid w:val="001A7068"/>
    <w:rsid w:val="001E7B52"/>
    <w:rsid w:val="0020424A"/>
    <w:rsid w:val="002237E9"/>
    <w:rsid w:val="0022797B"/>
    <w:rsid w:val="00417791"/>
    <w:rsid w:val="00470991"/>
    <w:rsid w:val="004875AB"/>
    <w:rsid w:val="005026E3"/>
    <w:rsid w:val="0060753B"/>
    <w:rsid w:val="0061035E"/>
    <w:rsid w:val="006361A0"/>
    <w:rsid w:val="0065631C"/>
    <w:rsid w:val="006579C2"/>
    <w:rsid w:val="00751A03"/>
    <w:rsid w:val="00770F65"/>
    <w:rsid w:val="007D33DD"/>
    <w:rsid w:val="00845506"/>
    <w:rsid w:val="00862D15"/>
    <w:rsid w:val="00950E86"/>
    <w:rsid w:val="00994500"/>
    <w:rsid w:val="00997570"/>
    <w:rsid w:val="00A87C25"/>
    <w:rsid w:val="00AA546B"/>
    <w:rsid w:val="00B656E5"/>
    <w:rsid w:val="00C80C65"/>
    <w:rsid w:val="00CC411F"/>
    <w:rsid w:val="00CD62C3"/>
    <w:rsid w:val="00D9665E"/>
    <w:rsid w:val="00DB49D1"/>
    <w:rsid w:val="00ED26C9"/>
    <w:rsid w:val="00F05187"/>
    <w:rsid w:val="00F168BD"/>
    <w:rsid w:val="00F81D9E"/>
    <w:rsid w:val="00F95363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E33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49D1"/>
    <w:pPr>
      <w:spacing w:line="312" w:lineRule="auto"/>
    </w:pPr>
    <w:rPr>
      <w:rFonts w:eastAsiaTheme="minorEastAsia"/>
      <w:lang w:eastAsia="zh-CN" w:bidi="hi-I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A546B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404040" w:themeColor="text1" w:themeTint="BF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AA546B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A546B"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A54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Zitat">
    <w:name w:val="Quote"/>
    <w:basedOn w:val="Standard"/>
    <w:next w:val="Standard"/>
    <w:link w:val="ZitatZchn"/>
    <w:uiPriority w:val="29"/>
    <w:qFormat/>
    <w:rsid w:val="00AA546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A546B"/>
    <w:rPr>
      <w:rFonts w:eastAsiaTheme="minorEastAsia"/>
      <w:i/>
      <w:iCs/>
      <w:color w:val="404040" w:themeColor="text1" w:themeTint="BF"/>
      <w:lang w:eastAsia="zh-CN" w:bidi="hi-I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A546B"/>
    <w:rPr>
      <w:rFonts w:asciiTheme="majorHAnsi" w:eastAsiaTheme="majorEastAsia" w:hAnsiTheme="majorHAnsi" w:cstheme="majorBidi"/>
      <w:color w:val="404040" w:themeColor="text1" w:themeTint="BF"/>
      <w:sz w:val="36"/>
      <w:szCs w:val="32"/>
      <w:lang w:eastAsia="zh-CN" w:bidi="hi-IN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A546B"/>
    <w:rPr>
      <w:rFonts w:asciiTheme="majorHAnsi" w:eastAsiaTheme="majorEastAsia" w:hAnsiTheme="majorHAnsi" w:cstheme="majorBidi"/>
      <w:color w:val="262626" w:themeColor="text1" w:themeTint="D9"/>
      <w:sz w:val="28"/>
      <w:szCs w:val="28"/>
      <w:lang w:eastAsia="zh-CN" w:bidi="hi-IN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A546B"/>
    <w:rPr>
      <w:rFonts w:asciiTheme="majorHAnsi" w:eastAsiaTheme="majorEastAsia" w:hAnsiTheme="majorHAnsi" w:cstheme="majorBidi"/>
      <w:color w:val="0D0D0D" w:themeColor="text1" w:themeTint="F2"/>
      <w:sz w:val="24"/>
      <w:szCs w:val="24"/>
      <w:lang w:eastAsia="zh-CN" w:bidi="hi-IN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A546B"/>
    <w:rPr>
      <w:rFonts w:asciiTheme="majorHAnsi" w:eastAsiaTheme="majorEastAsia" w:hAnsiTheme="majorHAnsi" w:cstheme="majorBidi"/>
      <w:i/>
      <w:iCs/>
      <w:color w:val="404040" w:themeColor="text1" w:themeTint="BF"/>
      <w:lang w:eastAsia="zh-CN" w:bidi="hi-IN"/>
    </w:rPr>
  </w:style>
  <w:style w:type="table" w:styleId="Tabellenraster">
    <w:name w:val="Table Grid"/>
    <w:aliases w:val="Tabellenraster-Übersetzung"/>
    <w:basedOn w:val="NormaleTabelle"/>
    <w:uiPriority w:val="39"/>
    <w:rsid w:val="00AA546B"/>
    <w:pPr>
      <w:spacing w:after="0" w:line="240" w:lineRule="auto"/>
    </w:pPr>
    <w:rPr>
      <w:rFonts w:eastAsiaTheme="minorEastAsia"/>
      <w:lang w:eastAsia="zh-CN" w:bidi="hi-IN"/>
    </w:rPr>
    <w:tblPr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single" w:sz="8" w:space="0" w:color="7F7F7F" w:themeColor="text1" w:themeTint="80"/>
        <w:insideV w:val="single" w:sz="8" w:space="0" w:color="7F7F7F" w:themeColor="text1" w:themeTint="80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</w:style>
  <w:style w:type="paragraph" w:customStyle="1" w:styleId="lbs-dokumente">
    <w:name w:val="lbs-dokumente"/>
    <w:rsid w:val="00AA546B"/>
    <w:pPr>
      <w:spacing w:after="198" w:line="360" w:lineRule="auto"/>
    </w:pPr>
    <w:rPr>
      <w:rFonts w:ascii="Arial" w:eastAsiaTheme="minorEastAsia" w:hAnsi="Arial"/>
      <w:lang w:eastAsia="zh-CN" w:bidi="hi-IN"/>
    </w:rPr>
  </w:style>
  <w:style w:type="paragraph" w:customStyle="1" w:styleId="vokangabe2">
    <w:name w:val="vokangabe2"/>
    <w:basedOn w:val="Standard"/>
    <w:link w:val="vokangabe2Zchn"/>
    <w:autoRedefine/>
    <w:qFormat/>
    <w:rsid w:val="00AA546B"/>
    <w:pPr>
      <w:spacing w:after="60" w:line="264" w:lineRule="auto"/>
      <w:ind w:left="284" w:hanging="284"/>
    </w:pPr>
    <w:rPr>
      <w:rFonts w:ascii="Arial" w:eastAsia="Calibri" w:hAnsi="Arial" w:cs="Calibri"/>
      <w:noProof/>
      <w:sz w:val="20"/>
      <w:szCs w:val="20"/>
      <w:lang w:val="la-Latn" w:eastAsia="de-DE" w:bidi="ar-SA"/>
    </w:rPr>
  </w:style>
  <w:style w:type="character" w:customStyle="1" w:styleId="vokangabe2Zchn">
    <w:name w:val="vokangabe2 Zchn"/>
    <w:basedOn w:val="Absatz-Standardschriftart"/>
    <w:link w:val="vokangabe2"/>
    <w:rsid w:val="00AA546B"/>
    <w:rPr>
      <w:rFonts w:ascii="Arial" w:eastAsia="Calibri" w:hAnsi="Arial" w:cs="Calibri"/>
      <w:noProof/>
      <w:sz w:val="20"/>
      <w:szCs w:val="20"/>
      <w:lang w:val="la-Latn" w:eastAsia="de-DE"/>
    </w:rPr>
  </w:style>
  <w:style w:type="paragraph" w:styleId="Listenabsatz">
    <w:name w:val="List Paragraph"/>
    <w:basedOn w:val="Standard"/>
    <w:uiPriority w:val="34"/>
    <w:qFormat/>
    <w:rsid w:val="00751A03"/>
    <w:pPr>
      <w:ind w:left="720"/>
      <w:contextualSpacing/>
    </w:pPr>
    <w:rPr>
      <w:rFonts w:cs="Mangal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1A7068"/>
    <w:pPr>
      <w:tabs>
        <w:tab w:val="center" w:pos="4536"/>
        <w:tab w:val="right" w:pos="9072"/>
      </w:tabs>
      <w:spacing w:after="0" w:line="240" w:lineRule="auto"/>
    </w:pPr>
    <w:rPr>
      <w:rFonts w:cs="Mangal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1A7068"/>
    <w:rPr>
      <w:rFonts w:eastAsiaTheme="minorEastAsia" w:cs="Mangal"/>
      <w:szCs w:val="20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1A7068"/>
    <w:pPr>
      <w:tabs>
        <w:tab w:val="center" w:pos="4536"/>
        <w:tab w:val="right" w:pos="9072"/>
      </w:tabs>
      <w:spacing w:after="0" w:line="240" w:lineRule="auto"/>
    </w:pPr>
    <w:rPr>
      <w:rFonts w:cs="Mangal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1A7068"/>
    <w:rPr>
      <w:rFonts w:eastAsiaTheme="minorEastAsia" w:cs="Mangal"/>
      <w:szCs w:val="20"/>
      <w:lang w:eastAsia="zh-C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79C2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79C2"/>
    <w:rPr>
      <w:rFonts w:ascii="Segoe UI" w:eastAsiaTheme="minorEastAsia" w:hAnsi="Segoe UI" w:cs="Mangal"/>
      <w:sz w:val="18"/>
      <w:szCs w:val="16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C80C65"/>
    <w:rPr>
      <w:color w:val="0563C1" w:themeColor="hyperlink"/>
      <w:u w:val="single"/>
    </w:rPr>
  </w:style>
  <w:style w:type="paragraph" w:customStyle="1" w:styleId="TableContents">
    <w:name w:val="Table Contents"/>
    <w:basedOn w:val="Standard"/>
    <w:rsid w:val="00862D15"/>
    <w:pPr>
      <w:suppressLineNumbers/>
    </w:pPr>
    <w:rPr>
      <w:sz w:val="21"/>
      <w:szCs w:val="21"/>
    </w:rPr>
  </w:style>
  <w:style w:type="paragraph" w:customStyle="1" w:styleId="western">
    <w:name w:val="western"/>
    <w:basedOn w:val="Standard"/>
    <w:rsid w:val="00862D15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de-DE" w:bidi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966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9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le-bw.de/faecher-und-schularten/sprachen-und-literatur/latein/informationen-zum-fach/internetadressen/vokabeln-grammatik/lateinwoerterbuecher-im-internet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chule-bw.de/faecher-und-schularten/sprachen-und-literatur/latein/sprache/grundwortschat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e.pons.com/&#252;bersetzung/latein-deutsch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tein-bw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2020-11-15T21:19:00Z</dcterms:created>
  <dcterms:modified xsi:type="dcterms:W3CDTF">2021-02-08T20:23:00Z</dcterms:modified>
</cp:coreProperties>
</file>