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E2A01" w14:textId="154CA029" w:rsidR="00DB49D1" w:rsidRDefault="00DB49D1" w:rsidP="001B3D27">
      <w:pPr>
        <w:pStyle w:val="berschrift1"/>
        <w:spacing w:before="0"/>
      </w:pPr>
      <w:r w:rsidRPr="0040335B">
        <w:t>Helden der Antike gehen in die Unterwelt</w:t>
      </w:r>
    </w:p>
    <w:p w14:paraId="37A8FE71" w14:textId="140C4609" w:rsidR="002A28B0" w:rsidRPr="002A28B0" w:rsidRDefault="002A28B0" w:rsidP="002A28B0">
      <w:r>
        <w:t xml:space="preserve">Name: </w:t>
      </w:r>
    </w:p>
    <w:p w14:paraId="3DDB5C68" w14:textId="5A2BA653" w:rsidR="00751A03" w:rsidRPr="00751A03" w:rsidRDefault="00751A03" w:rsidP="00751A03">
      <w:pPr>
        <w:pStyle w:val="berschrift3"/>
      </w:pPr>
      <w:r>
        <w:t>Teil 1: Hercules holt Cerberus aus der Unterwelt</w:t>
      </w:r>
      <w:r w:rsidR="002A28B0">
        <w:t xml:space="preserve"> – Der Auftrag</w:t>
      </w:r>
    </w:p>
    <w:p w14:paraId="1C2E4B1F" w14:textId="359B4DF8" w:rsidR="00DB49D1" w:rsidRPr="0040335B" w:rsidRDefault="00DB49D1" w:rsidP="00DB49D1">
      <w:pPr>
        <w:rPr>
          <w:i/>
          <w:iCs/>
        </w:rPr>
      </w:pPr>
      <w:r w:rsidRPr="0040335B">
        <w:rPr>
          <w:i/>
          <w:iCs/>
        </w:rPr>
        <w:t>Die sagenhaften Helden der Griechen und Römer gingen, wenn es sein musste, auch in die Unterwelt zu den Toten.</w:t>
      </w:r>
      <w:r w:rsidR="00751A03">
        <w:rPr>
          <w:i/>
          <w:iCs/>
        </w:rPr>
        <w:t xml:space="preserve"> Hercules holte den wilden, dreiköpfigen Hund Cerberus aus der Unterwelt.</w:t>
      </w:r>
    </w:p>
    <w:p w14:paraId="06A5A998" w14:textId="0B916550" w:rsidR="00751A03" w:rsidRDefault="00751A03" w:rsidP="00DB49D1">
      <w:r w:rsidRPr="00751A03">
        <w:rPr>
          <w:b/>
          <w:bCs/>
        </w:rPr>
        <w:t>Aufgaben</w:t>
      </w:r>
      <w:r>
        <w:t xml:space="preserve"> – bearbeite sie in dieser Reihenfolge:</w:t>
      </w:r>
    </w:p>
    <w:p w14:paraId="35FE2322" w14:textId="63F5F787" w:rsidR="00FF67B5" w:rsidRDefault="00FF67B5" w:rsidP="00751A03">
      <w:pPr>
        <w:pStyle w:val="Listenabsatz"/>
        <w:numPr>
          <w:ilvl w:val="0"/>
          <w:numId w:val="1"/>
        </w:numPr>
      </w:pPr>
      <w:r w:rsidRPr="002A28B0">
        <w:rPr>
          <w:u w:val="single"/>
        </w:rPr>
        <w:t>Unterstreiche</w:t>
      </w:r>
      <w:r>
        <w:t xml:space="preserve"> alle Prädikate.</w:t>
      </w:r>
    </w:p>
    <w:p w14:paraId="512616D0" w14:textId="00987DC7" w:rsidR="00FF67B5" w:rsidRDefault="00FF67B5" w:rsidP="00751A03">
      <w:pPr>
        <w:pStyle w:val="Listenabsatz"/>
        <w:numPr>
          <w:ilvl w:val="0"/>
          <w:numId w:val="1"/>
        </w:numPr>
      </w:pPr>
      <w:r>
        <w:t xml:space="preserve">Setze alle </w:t>
      </w:r>
      <w:proofErr w:type="spellStart"/>
      <w:r>
        <w:t>AcIs</w:t>
      </w:r>
      <w:proofErr w:type="spellEnd"/>
      <w:r>
        <w:t xml:space="preserve"> in </w:t>
      </w:r>
      <w:r w:rsidRPr="002A28B0">
        <w:rPr>
          <w:b/>
          <w:bCs/>
        </w:rPr>
        <w:t>Fettdruck</w:t>
      </w:r>
      <w:r>
        <w:t xml:space="preserve"> – nicht das Verb, von dem der </w:t>
      </w:r>
      <w:proofErr w:type="spellStart"/>
      <w:r>
        <w:t>AcI</w:t>
      </w:r>
      <w:proofErr w:type="spellEnd"/>
      <w:r>
        <w:t xml:space="preserve"> abhängt, sondern alles vom </w:t>
      </w:r>
      <w:proofErr w:type="spellStart"/>
      <w:r>
        <w:t>Accusativ</w:t>
      </w:r>
      <w:proofErr w:type="spellEnd"/>
      <w:r>
        <w:t xml:space="preserve"> des </w:t>
      </w:r>
      <w:proofErr w:type="spellStart"/>
      <w:r>
        <w:t>AcI</w:t>
      </w:r>
      <w:proofErr w:type="spellEnd"/>
      <w:r>
        <w:t xml:space="preserve"> bis zu</w:t>
      </w:r>
      <w:r w:rsidR="001A7068">
        <w:t>m Infinitiv.</w:t>
      </w:r>
    </w:p>
    <w:p w14:paraId="54FD4F8C" w14:textId="08666FDC" w:rsidR="00470991" w:rsidRDefault="00470991" w:rsidP="00470991">
      <w:pPr>
        <w:pStyle w:val="Listenabsatz"/>
        <w:numPr>
          <w:ilvl w:val="0"/>
          <w:numId w:val="1"/>
        </w:numPr>
      </w:pPr>
      <w:r>
        <w:t>Übersetze den Text</w:t>
      </w:r>
      <w:r w:rsidR="002A28B0">
        <w:t>. Verwende dafür die rechte Spalte</w:t>
      </w:r>
      <w:r>
        <w:t>.</w:t>
      </w:r>
    </w:p>
    <w:p w14:paraId="0A32204A" w14:textId="71D088F2" w:rsidR="00751A03" w:rsidRDefault="00751A03" w:rsidP="00751A03">
      <w:pPr>
        <w:pStyle w:val="Listenabsatz"/>
        <w:numPr>
          <w:ilvl w:val="0"/>
          <w:numId w:val="1"/>
        </w:numPr>
      </w:pPr>
      <w:r>
        <w:t xml:space="preserve">Mache </w:t>
      </w:r>
      <w:r w:rsidR="001A7068">
        <w:t>das</w:t>
      </w:r>
      <w:r>
        <w:t xml:space="preserve"> Quiz</w:t>
      </w:r>
      <w:r w:rsidR="001A7068">
        <w:t xml:space="preserve"> zum Verständnis des Übersetzungstextes</w:t>
      </w:r>
      <w:r w:rsidR="002A28B0">
        <w:t xml:space="preserve"> (Thema </w:t>
      </w:r>
      <w:r w:rsidR="00FB2AEC">
        <w:t>3)</w:t>
      </w:r>
      <w:r w:rsidR="00FF67B5">
        <w:t>.</w:t>
      </w:r>
    </w:p>
    <w:p w14:paraId="52DDE217" w14:textId="5FF1FA8F" w:rsidR="001A7068" w:rsidRDefault="001A7068" w:rsidP="00751A03">
      <w:pPr>
        <w:pStyle w:val="Listenabsatz"/>
        <w:numPr>
          <w:ilvl w:val="0"/>
          <w:numId w:val="1"/>
        </w:numPr>
      </w:pPr>
      <w:r>
        <w:t>Korrigiere deine Übersetzung</w:t>
      </w:r>
      <w:r w:rsidR="002A28B0">
        <w:t xml:space="preserve"> und speichere sie. Füge deinen Namen in den Dateinamen ein</w:t>
      </w:r>
      <w:r>
        <w:t>.</w:t>
      </w:r>
    </w:p>
    <w:p w14:paraId="2D25186C" w14:textId="0B28CD2F" w:rsidR="00470991" w:rsidRDefault="002A28B0" w:rsidP="00751A03">
      <w:pPr>
        <w:pStyle w:val="Listenabsatz"/>
        <w:numPr>
          <w:ilvl w:val="0"/>
          <w:numId w:val="1"/>
        </w:numPr>
      </w:pPr>
      <w:r>
        <w:t xml:space="preserve">Lade diese Datei mit der Lösung </w:t>
      </w:r>
      <w:r w:rsidR="00470991">
        <w:t>im Feld „Aufgabe“ in deinem Moodle-Kurs</w:t>
      </w:r>
      <w:r>
        <w:t>, Thema 3</w:t>
      </w:r>
      <w:r w:rsidR="00470991">
        <w:t xml:space="preserve"> </w:t>
      </w:r>
      <w:r w:rsidR="00256182">
        <w:t>hoch</w:t>
      </w:r>
      <w:r w:rsidR="00470991">
        <w:t>.</w:t>
      </w:r>
    </w:p>
    <w:p w14:paraId="103F79C9" w14:textId="44859406" w:rsidR="00027CDF" w:rsidRDefault="00027CDF" w:rsidP="00027CDF">
      <w:r>
        <w:t>Zu den Vokabeln: Die Vokabeln mit</w:t>
      </w:r>
      <w:r w:rsidR="0071318D" w:rsidRPr="0071318D">
        <w:rPr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</w:t>
      </w:r>
      <w:r w:rsidRPr="00027CDF">
        <w:t>sind</w:t>
      </w:r>
      <w:r>
        <w:t xml:space="preserve"> Lernvokabeln. Präge sie dir beim Übersetzen ein.</w:t>
      </w:r>
    </w:p>
    <w:p w14:paraId="4579A888" w14:textId="5DE922D6" w:rsidR="00027CDF" w:rsidRDefault="00027CDF" w:rsidP="00027CDF">
      <w:r>
        <w:t xml:space="preserve">Beim Landesbildungsserver findest du eine </w:t>
      </w:r>
      <w:hyperlink r:id="rId7" w:history="1">
        <w:r w:rsidRPr="00027CDF">
          <w:rPr>
            <w:rStyle w:val="Hyperlink"/>
          </w:rPr>
          <w:t>Liste mit Online-Wörterbüchern</w:t>
        </w:r>
      </w:hyperlink>
      <w:r>
        <w:t xml:space="preserve">, die auf ihre Zuverlässigkeit geprüft wurden. Du kannst z. B. das Lateinlexikon von </w:t>
      </w:r>
      <w:hyperlink r:id="rId8" w:history="1">
        <w:r>
          <w:rPr>
            <w:rStyle w:val="Hyperlink"/>
          </w:rPr>
          <w:t>Pons</w:t>
        </w:r>
      </w:hyperlink>
      <w:r>
        <w:t xml:space="preserve"> verwenden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7"/>
        <w:gridCol w:w="3016"/>
        <w:gridCol w:w="3017"/>
      </w:tblGrid>
      <w:tr w:rsidR="001A7068" w14:paraId="647324C0" w14:textId="77777777" w:rsidTr="001A7068">
        <w:tc>
          <w:tcPr>
            <w:tcW w:w="3017" w:type="dxa"/>
          </w:tcPr>
          <w:p w14:paraId="50CA55B8" w14:textId="4C2A0408" w:rsidR="001A7068" w:rsidRPr="006579C2" w:rsidRDefault="001A7068" w:rsidP="001A7068">
            <w:pPr>
              <w:rPr>
                <w:sz w:val="24"/>
                <w:szCs w:val="24"/>
              </w:rPr>
            </w:pPr>
            <w:r w:rsidRPr="006579C2">
              <w:rPr>
                <w:sz w:val="24"/>
                <w:szCs w:val="24"/>
              </w:rPr>
              <w:t>Lateinischer Text</w:t>
            </w:r>
          </w:p>
        </w:tc>
        <w:tc>
          <w:tcPr>
            <w:tcW w:w="3017" w:type="dxa"/>
          </w:tcPr>
          <w:p w14:paraId="7D4764C2" w14:textId="36C049B4" w:rsidR="001A7068" w:rsidRDefault="001A7068" w:rsidP="001A7068">
            <w:pPr>
              <w:pStyle w:val="vokangabe2"/>
            </w:pPr>
            <w:r>
              <w:t>Übersetzungshilfen</w:t>
            </w:r>
          </w:p>
        </w:tc>
        <w:tc>
          <w:tcPr>
            <w:tcW w:w="3018" w:type="dxa"/>
          </w:tcPr>
          <w:p w14:paraId="36F15C6A" w14:textId="108B39EE" w:rsidR="001A7068" w:rsidRDefault="001A7068" w:rsidP="001A7068">
            <w:r>
              <w:t>Übersetzung</w:t>
            </w:r>
          </w:p>
        </w:tc>
      </w:tr>
      <w:tr w:rsidR="001A7068" w14:paraId="490BACA5" w14:textId="77777777" w:rsidTr="001A7068">
        <w:tc>
          <w:tcPr>
            <w:tcW w:w="3017" w:type="dxa"/>
          </w:tcPr>
          <w:p w14:paraId="522B7499" w14:textId="77777777" w:rsidR="001A7068" w:rsidRPr="006579C2" w:rsidRDefault="001A7068" w:rsidP="001A7068">
            <w:pPr>
              <w:rPr>
                <w:sz w:val="24"/>
                <w:szCs w:val="24"/>
                <w:lang w:val="sq-AL"/>
              </w:rPr>
            </w:pPr>
            <w:r w:rsidRPr="006579C2">
              <w:rPr>
                <w:sz w:val="24"/>
                <w:szCs w:val="24"/>
                <w:lang w:val="sq-AL"/>
              </w:rPr>
              <w:t xml:space="preserve">Eurystheus Herculi duodecim munera </w:t>
            </w:r>
            <w:r w:rsidRPr="00F95363">
              <w:rPr>
                <w:sz w:val="24"/>
                <w:szCs w:val="24"/>
                <w:lang w:val="sq-AL"/>
              </w:rPr>
              <w:t>dedit, quia credebat</w:t>
            </w:r>
            <w:r w:rsidRPr="006579C2">
              <w:rPr>
                <w:sz w:val="24"/>
                <w:szCs w:val="24"/>
                <w:lang w:val="sq-AL"/>
              </w:rPr>
              <w:t xml:space="preserve"> </w:t>
            </w:r>
            <w:r w:rsidRPr="00F95363">
              <w:rPr>
                <w:sz w:val="24"/>
                <w:szCs w:val="24"/>
                <w:lang w:val="sq-AL"/>
              </w:rPr>
              <w:t>Herculem ea explere non posse.</w:t>
            </w:r>
          </w:p>
          <w:p w14:paraId="3055B636" w14:textId="77777777" w:rsidR="001A7068" w:rsidRPr="006579C2" w:rsidRDefault="001A7068" w:rsidP="001A7068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14:paraId="54ACBB7C" w14:textId="03C68691" w:rsidR="001A7068" w:rsidRDefault="001A7068" w:rsidP="001A7068">
            <w:pPr>
              <w:pStyle w:val="vokangabe2"/>
            </w:pPr>
            <w:r>
              <w:t>Eurystheus: Eurystheus (Name)</w:t>
            </w:r>
          </w:p>
          <w:p w14:paraId="176D768C" w14:textId="77777777" w:rsidR="001A7068" w:rsidRDefault="001A7068" w:rsidP="001A7068">
            <w:pPr>
              <w:pStyle w:val="vokangabe2"/>
            </w:pPr>
            <w:r>
              <w:t>Hercules, Herculis, m: Herkules</w:t>
            </w:r>
          </w:p>
          <w:p w14:paraId="35933664" w14:textId="320E3E1D" w:rsidR="001A7068" w:rsidRDefault="001A7068" w:rsidP="001A7068">
            <w:pPr>
              <w:pStyle w:val="vokangabe2"/>
            </w:pPr>
            <w:r>
              <w:t>munus, muneris, n.</w:t>
            </w:r>
            <w:r w:rsidR="00027CDF" w:rsidRPr="00027CDF">
              <w:rPr>
                <w:b/>
                <w:bCs/>
                <w:sz w:val="28"/>
                <w:szCs w:val="28"/>
                <w:lang w:val="de-DE"/>
              </w:rPr>
              <w:t>*</w:t>
            </w:r>
            <w:r>
              <w:t>: die Aufgabe</w:t>
            </w:r>
          </w:p>
          <w:p w14:paraId="633C1500" w14:textId="26D52EA7" w:rsidR="001A7068" w:rsidRDefault="001A7068" w:rsidP="001A7068">
            <w:pPr>
              <w:pStyle w:val="vokangabe2"/>
            </w:pPr>
            <w:r>
              <w:t>explere: ausfüllen; bei einer Aufgabe: ausführen</w:t>
            </w:r>
          </w:p>
        </w:tc>
        <w:tc>
          <w:tcPr>
            <w:tcW w:w="3018" w:type="dxa"/>
          </w:tcPr>
          <w:p w14:paraId="12FE839C" w14:textId="77777777" w:rsidR="001A7068" w:rsidRDefault="001A7068" w:rsidP="001A7068"/>
        </w:tc>
      </w:tr>
      <w:tr w:rsidR="001A7068" w14:paraId="0108261B" w14:textId="77777777" w:rsidTr="001A7068">
        <w:tc>
          <w:tcPr>
            <w:tcW w:w="3017" w:type="dxa"/>
          </w:tcPr>
          <w:p w14:paraId="5FEB1FE3" w14:textId="7C14DCE2" w:rsidR="001A7068" w:rsidRPr="006579C2" w:rsidRDefault="001A7068" w:rsidP="001A7068">
            <w:pPr>
              <w:rPr>
                <w:sz w:val="24"/>
                <w:szCs w:val="24"/>
              </w:rPr>
            </w:pPr>
            <w:r w:rsidRPr="006579C2">
              <w:rPr>
                <w:sz w:val="24"/>
                <w:szCs w:val="24"/>
                <w:lang w:val="sq-AL"/>
              </w:rPr>
              <w:t>Qui vir fortis etiam ad domum mortuorum descendit.</w:t>
            </w:r>
          </w:p>
        </w:tc>
        <w:tc>
          <w:tcPr>
            <w:tcW w:w="3017" w:type="dxa"/>
          </w:tcPr>
          <w:p w14:paraId="1ABB235B" w14:textId="41519365" w:rsidR="001A7068" w:rsidRDefault="001A7068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domus, domus, f.</w:t>
            </w:r>
            <w:r w:rsidR="0071318D">
              <w:rPr>
                <w:b/>
                <w:bCs/>
                <w:sz w:val="28"/>
                <w:szCs w:val="28"/>
                <w:lang w:val="de-DE"/>
              </w:rPr>
              <w:t>*</w:t>
            </w:r>
            <w:r>
              <w:rPr>
                <w:lang w:val="de-DE"/>
              </w:rPr>
              <w:t>: das Haus</w:t>
            </w:r>
          </w:p>
          <w:p w14:paraId="5E56ACF8" w14:textId="4C1620C4" w:rsidR="00027CDF" w:rsidRDefault="00027CDF" w:rsidP="001A7068">
            <w:pPr>
              <w:pStyle w:val="vokangabe2"/>
              <w:rPr>
                <w:lang w:val="de-DE"/>
              </w:rPr>
            </w:pPr>
            <w:bookmarkStart w:id="0" w:name="_Hlk56257313"/>
            <w:r>
              <w:rPr>
                <w:lang w:val="de-DE"/>
              </w:rPr>
              <w:t>mortuus, mortua, mortuum: tot; mortui, mortuorum, m.</w:t>
            </w:r>
            <w:r w:rsidR="0071318D">
              <w:rPr>
                <w:lang w:val="de-DE"/>
              </w:rPr>
              <w:t>*</w:t>
            </w:r>
            <w:r>
              <w:rPr>
                <w:lang w:val="de-DE"/>
              </w:rPr>
              <w:t>: die Toten</w:t>
            </w:r>
          </w:p>
          <w:p w14:paraId="5A334186" w14:textId="3255BB99" w:rsidR="001A7068" w:rsidRPr="001A7068" w:rsidRDefault="001A7068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descendere, descendo, descendi</w:t>
            </w:r>
            <w:r w:rsidR="0071318D" w:rsidRPr="0071318D">
              <w:rPr>
                <w:sz w:val="28"/>
                <w:szCs w:val="28"/>
                <w:lang w:val="de-DE"/>
              </w:rPr>
              <w:t>*</w:t>
            </w:r>
            <w:r>
              <w:rPr>
                <w:lang w:val="de-DE"/>
              </w:rPr>
              <w:t>: hinabsteigen</w:t>
            </w:r>
            <w:bookmarkEnd w:id="0"/>
          </w:p>
        </w:tc>
        <w:tc>
          <w:tcPr>
            <w:tcW w:w="3018" w:type="dxa"/>
          </w:tcPr>
          <w:p w14:paraId="7B658765" w14:textId="77777777" w:rsidR="001A7068" w:rsidRDefault="001A7068" w:rsidP="001A7068"/>
        </w:tc>
      </w:tr>
      <w:tr w:rsidR="001A7068" w14:paraId="6F190CDC" w14:textId="77777777" w:rsidTr="001A7068">
        <w:tc>
          <w:tcPr>
            <w:tcW w:w="3017" w:type="dxa"/>
          </w:tcPr>
          <w:p w14:paraId="5BAA7C65" w14:textId="04530270" w:rsidR="001A7068" w:rsidRPr="006579C2" w:rsidRDefault="001A7068" w:rsidP="001A7068">
            <w:pPr>
              <w:rPr>
                <w:sz w:val="24"/>
                <w:szCs w:val="24"/>
                <w:lang w:val="sq-AL"/>
              </w:rPr>
            </w:pPr>
            <w:r w:rsidRPr="006579C2">
              <w:rPr>
                <w:sz w:val="24"/>
                <w:szCs w:val="24"/>
                <w:lang w:val="sq-AL"/>
              </w:rPr>
              <w:lastRenderedPageBreak/>
              <w:t>Eurystheus enim postulaverat, ut Hercules Cerberum, canem terribilem, ab inferis caperet.</w:t>
            </w:r>
          </w:p>
        </w:tc>
        <w:tc>
          <w:tcPr>
            <w:tcW w:w="3017" w:type="dxa"/>
          </w:tcPr>
          <w:p w14:paraId="0630B48F" w14:textId="3D808A3C" w:rsidR="001A7068" w:rsidRDefault="001A7068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postulare</w:t>
            </w:r>
            <w:r w:rsidR="0071318D" w:rsidRPr="0071318D">
              <w:rPr>
                <w:sz w:val="28"/>
                <w:szCs w:val="28"/>
                <w:lang w:val="de-DE"/>
              </w:rPr>
              <w:t>*</w:t>
            </w:r>
            <w:r>
              <w:rPr>
                <w:lang w:val="de-DE"/>
              </w:rPr>
              <w:t>: fordern</w:t>
            </w:r>
          </w:p>
          <w:p w14:paraId="53871BFA" w14:textId="77777777" w:rsidR="001A7068" w:rsidRDefault="001A7068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Cerberus: Name des dreiköpfigen Hundes, der den Eingang zur Unterwelt bewacht.</w:t>
            </w:r>
          </w:p>
          <w:p w14:paraId="141CEE12" w14:textId="39689E93" w:rsidR="00470991" w:rsidRDefault="00470991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canis, canis, m./f.: der Hund</w:t>
            </w:r>
          </w:p>
          <w:p w14:paraId="7D983914" w14:textId="5362AFB1" w:rsidR="00ED26C9" w:rsidRDefault="00ED26C9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terribilis, terribile</w:t>
            </w:r>
            <w:r w:rsidR="0071318D" w:rsidRPr="0071318D">
              <w:rPr>
                <w:sz w:val="28"/>
                <w:szCs w:val="28"/>
                <w:lang w:val="de-DE"/>
              </w:rPr>
              <w:t>*</w:t>
            </w:r>
            <w:r>
              <w:rPr>
                <w:lang w:val="de-DE"/>
              </w:rPr>
              <w:t>: schrecklich</w:t>
            </w:r>
          </w:p>
          <w:p w14:paraId="3673114C" w14:textId="7B49CDA6" w:rsidR="00470991" w:rsidRDefault="00470991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inferi, inferorum, m.: die Götter der Unterwelt</w:t>
            </w:r>
          </w:p>
        </w:tc>
        <w:tc>
          <w:tcPr>
            <w:tcW w:w="3018" w:type="dxa"/>
          </w:tcPr>
          <w:p w14:paraId="776B6BF2" w14:textId="77777777" w:rsidR="001A7068" w:rsidRDefault="001A7068" w:rsidP="001A7068"/>
        </w:tc>
      </w:tr>
      <w:tr w:rsidR="001A7068" w14:paraId="3BD7D5EF" w14:textId="77777777" w:rsidTr="001A7068">
        <w:tc>
          <w:tcPr>
            <w:tcW w:w="3017" w:type="dxa"/>
          </w:tcPr>
          <w:p w14:paraId="00AEC405" w14:textId="1106D326" w:rsidR="001A7068" w:rsidRPr="006579C2" w:rsidRDefault="001A7068" w:rsidP="001A7068">
            <w:pPr>
              <w:rPr>
                <w:sz w:val="24"/>
                <w:szCs w:val="24"/>
                <w:lang w:val="sq-AL"/>
              </w:rPr>
            </w:pPr>
            <w:r w:rsidRPr="006579C2">
              <w:rPr>
                <w:sz w:val="24"/>
                <w:szCs w:val="24"/>
                <w:lang w:val="sq-AL"/>
              </w:rPr>
              <w:t>Putabat illum canem ne ab Hercule quidem superari posse.</w:t>
            </w:r>
          </w:p>
        </w:tc>
        <w:tc>
          <w:tcPr>
            <w:tcW w:w="3017" w:type="dxa"/>
          </w:tcPr>
          <w:p w14:paraId="2325CD63" w14:textId="77777777" w:rsidR="001A7068" w:rsidRDefault="00470991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ne … quidem</w:t>
            </w:r>
            <w:r w:rsidR="00027CDF" w:rsidRPr="00027CDF">
              <w:rPr>
                <w:b/>
                <w:bCs/>
                <w:sz w:val="28"/>
                <w:szCs w:val="28"/>
                <w:lang w:val="de-DE"/>
              </w:rPr>
              <w:t>*</w:t>
            </w:r>
            <w:r>
              <w:rPr>
                <w:lang w:val="de-DE"/>
              </w:rPr>
              <w:t>: nicht einmal</w:t>
            </w:r>
          </w:p>
          <w:p w14:paraId="4BA2965C" w14:textId="35CA1831" w:rsidR="00E51620" w:rsidRDefault="00E51620" w:rsidP="001A7068">
            <w:pPr>
              <w:pStyle w:val="vokangabe2"/>
              <w:rPr>
                <w:lang w:val="de-DE"/>
              </w:rPr>
            </w:pPr>
            <w:r>
              <w:rPr>
                <w:lang w:val="de-DE"/>
              </w:rPr>
              <w:t>superare</w:t>
            </w:r>
            <w:r w:rsidR="0071318D">
              <w:rPr>
                <w:lang w:val="de-DE"/>
              </w:rPr>
              <w:t>*</w:t>
            </w:r>
            <w:r w:rsidRPr="00E51620">
              <w:rPr>
                <w:lang w:val="de-DE"/>
              </w:rPr>
              <w:t xml:space="preserve">: </w:t>
            </w:r>
            <w:r>
              <w:rPr>
                <w:lang w:val="de-DE"/>
              </w:rPr>
              <w:t>überwinden, besiegen</w:t>
            </w:r>
          </w:p>
        </w:tc>
        <w:tc>
          <w:tcPr>
            <w:tcW w:w="3018" w:type="dxa"/>
          </w:tcPr>
          <w:p w14:paraId="376F1726" w14:textId="77777777" w:rsidR="001A7068" w:rsidRDefault="001A7068" w:rsidP="001A7068"/>
        </w:tc>
      </w:tr>
    </w:tbl>
    <w:p w14:paraId="2FA78F8B" w14:textId="77777777" w:rsidR="00027B32" w:rsidRDefault="00027B32"/>
    <w:sectPr w:rsidR="00027B32" w:rsidSect="002A28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2F190" w14:textId="77777777" w:rsidR="00ED76CD" w:rsidRDefault="00ED76CD" w:rsidP="001A7068">
      <w:pPr>
        <w:spacing w:after="0" w:line="240" w:lineRule="auto"/>
      </w:pPr>
      <w:r>
        <w:separator/>
      </w:r>
    </w:p>
  </w:endnote>
  <w:endnote w:type="continuationSeparator" w:id="0">
    <w:p w14:paraId="2A8F088C" w14:textId="77777777" w:rsidR="00ED76CD" w:rsidRDefault="00ED76CD" w:rsidP="001A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D066B" w14:textId="77777777" w:rsidR="001A7068" w:rsidRDefault="001A70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B5287" w14:textId="7EF39894" w:rsidR="001A7068" w:rsidRDefault="001A7068">
    <w:pPr>
      <w:pStyle w:val="Fuzeile"/>
    </w:pPr>
    <w:r>
      <w:t>Moodle-Kurs: Hercules holt Cerberus aus der Unterwelt</w:t>
    </w:r>
    <w:r w:rsidR="0071318D">
      <w:t xml:space="preserve"> – </w:t>
    </w:r>
    <w:hyperlink r:id="rId1" w:history="1">
      <w:r w:rsidR="0071318D" w:rsidRPr="00E65C06">
        <w:rPr>
          <w:rStyle w:val="Hyperlink"/>
        </w:rPr>
        <w:t>www.latein-bw.de</w:t>
      </w:r>
    </w:hyperlink>
    <w:r w:rsidR="0071318D">
      <w:t xml:space="preserve"> </w:t>
    </w:r>
    <w:r>
      <w:tab/>
      <w:t>[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96443" w14:textId="77777777" w:rsidR="001A7068" w:rsidRDefault="001A70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C1EB8" w14:textId="77777777" w:rsidR="00ED76CD" w:rsidRDefault="00ED76CD" w:rsidP="001A7068">
      <w:pPr>
        <w:spacing w:after="0" w:line="240" w:lineRule="auto"/>
      </w:pPr>
      <w:r>
        <w:separator/>
      </w:r>
    </w:p>
  </w:footnote>
  <w:footnote w:type="continuationSeparator" w:id="0">
    <w:p w14:paraId="4CE61DF8" w14:textId="77777777" w:rsidR="00ED76CD" w:rsidRDefault="00ED76CD" w:rsidP="001A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80B64" w14:textId="77777777" w:rsidR="001A7068" w:rsidRDefault="001A70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2600"/>
      <w:gridCol w:w="3826"/>
    </w:tblGrid>
    <w:tr w:rsidR="0071318D" w:rsidRPr="002C2BC2" w14:paraId="08B01696" w14:textId="77777777" w:rsidTr="00B655C1">
      <w:trPr>
        <w:trHeight w:val="794"/>
      </w:trPr>
      <w:tc>
        <w:tcPr>
          <w:tcW w:w="321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11017C9" w14:textId="77777777" w:rsidR="0071318D" w:rsidRDefault="0071318D" w:rsidP="0071318D">
          <w:pPr>
            <w:pStyle w:val="TableContents"/>
            <w:spacing w:after="0" w:line="240" w:lineRule="auto"/>
          </w:pPr>
          <w:bookmarkStart w:id="1" w:name="_Hlk57119760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5F3D20" wp14:editId="6EB8DD26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3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16D23E8" w14:textId="77777777" w:rsidR="0071318D" w:rsidRPr="0071318D" w:rsidRDefault="0071318D" w:rsidP="0071318D">
          <w:pPr>
            <w:pStyle w:val="TableContents"/>
            <w:spacing w:after="0" w:line="240" w:lineRule="auto"/>
            <w:jc w:val="right"/>
            <w:rPr>
              <w:sz w:val="22"/>
              <w:szCs w:val="22"/>
            </w:rPr>
          </w:pPr>
        </w:p>
      </w:tc>
      <w:tc>
        <w:tcPr>
          <w:tcW w:w="3826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68B508D" w14:textId="77777777" w:rsidR="0071318D" w:rsidRPr="0071318D" w:rsidRDefault="0071318D" w:rsidP="0071318D">
          <w:pPr>
            <w:pStyle w:val="western"/>
            <w:spacing w:after="0" w:line="240" w:lineRule="auto"/>
            <w:jc w:val="right"/>
            <w:rPr>
              <w:sz w:val="22"/>
              <w:szCs w:val="22"/>
            </w:rPr>
          </w:pPr>
          <w:r w:rsidRPr="0071318D">
            <w:rPr>
              <w:rFonts w:ascii="Arial Rounded MT Bold" w:hAnsi="Arial Rounded MT Bold"/>
              <w:sz w:val="22"/>
              <w:szCs w:val="22"/>
            </w:rPr>
            <w:t>Moodle-Kurs (Latein):</w:t>
          </w:r>
          <w:r w:rsidRPr="0071318D">
            <w:rPr>
              <w:rFonts w:ascii="Arial Rounded MT Bold" w:hAnsi="Arial Rounded MT Bold"/>
              <w:sz w:val="22"/>
              <w:szCs w:val="22"/>
            </w:rPr>
            <w:br/>
            <w:t>Herkules in der Unterwelt</w:t>
          </w:r>
        </w:p>
        <w:p w14:paraId="4307435D" w14:textId="6A29F43A" w:rsidR="0071318D" w:rsidRPr="0071318D" w:rsidRDefault="0071318D" w:rsidP="0071318D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  <w:sz w:val="22"/>
              <w:szCs w:val="22"/>
              <w:lang w:val="la-Latn"/>
            </w:rPr>
          </w:pPr>
        </w:p>
      </w:tc>
    </w:tr>
    <w:bookmarkEnd w:id="1"/>
  </w:tbl>
  <w:p w14:paraId="3C7B5FF4" w14:textId="77777777" w:rsidR="001A7068" w:rsidRPr="0071318D" w:rsidRDefault="001A7068" w:rsidP="002A28B0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BBE53" w14:textId="77777777" w:rsidR="001A7068" w:rsidRDefault="001A70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9221D"/>
    <w:multiLevelType w:val="hybridMultilevel"/>
    <w:tmpl w:val="B630D9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D1"/>
    <w:rsid w:val="00027B32"/>
    <w:rsid w:val="00027CDF"/>
    <w:rsid w:val="000D2D0D"/>
    <w:rsid w:val="00115790"/>
    <w:rsid w:val="001A7068"/>
    <w:rsid w:val="001B3D27"/>
    <w:rsid w:val="001E7B52"/>
    <w:rsid w:val="001F03CD"/>
    <w:rsid w:val="0020424A"/>
    <w:rsid w:val="0022797B"/>
    <w:rsid w:val="00256182"/>
    <w:rsid w:val="002821FE"/>
    <w:rsid w:val="002A28B0"/>
    <w:rsid w:val="00334A4F"/>
    <w:rsid w:val="00470991"/>
    <w:rsid w:val="004A6E09"/>
    <w:rsid w:val="0061035E"/>
    <w:rsid w:val="0065631C"/>
    <w:rsid w:val="006579C2"/>
    <w:rsid w:val="0071318D"/>
    <w:rsid w:val="00751A03"/>
    <w:rsid w:val="00997570"/>
    <w:rsid w:val="00AA546B"/>
    <w:rsid w:val="00B656E5"/>
    <w:rsid w:val="00DB49D1"/>
    <w:rsid w:val="00E51620"/>
    <w:rsid w:val="00E667C1"/>
    <w:rsid w:val="00EC0ADA"/>
    <w:rsid w:val="00ED26C9"/>
    <w:rsid w:val="00ED682F"/>
    <w:rsid w:val="00ED76CD"/>
    <w:rsid w:val="00F81D9E"/>
    <w:rsid w:val="00F95363"/>
    <w:rsid w:val="00FB2AEC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E33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9D1"/>
    <w:pPr>
      <w:spacing w:line="312" w:lineRule="auto"/>
    </w:pPr>
    <w:rPr>
      <w:rFonts w:eastAsiaTheme="minorEastAsia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3D2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A546B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46B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54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qFormat/>
    <w:rsid w:val="00AA546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546B"/>
    <w:rPr>
      <w:rFonts w:eastAsiaTheme="minorEastAsia"/>
      <w:i/>
      <w:iCs/>
      <w:color w:val="404040" w:themeColor="text1" w:themeTint="BF"/>
      <w:lang w:eastAsia="zh-C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3D27"/>
    <w:rPr>
      <w:rFonts w:asciiTheme="majorHAnsi" w:eastAsiaTheme="majorEastAsia" w:hAnsiTheme="majorHAnsi" w:cstheme="majorBidi"/>
      <w:color w:val="404040" w:themeColor="text1" w:themeTint="BF"/>
      <w:sz w:val="36"/>
      <w:szCs w:val="32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46B"/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zh-CN" w:bidi="hi-I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46B"/>
    <w:rPr>
      <w:rFonts w:asciiTheme="majorHAnsi" w:eastAsiaTheme="majorEastAsia" w:hAnsiTheme="majorHAnsi" w:cstheme="majorBidi"/>
      <w:color w:val="0D0D0D" w:themeColor="text1" w:themeTint="F2"/>
      <w:sz w:val="24"/>
      <w:szCs w:val="24"/>
      <w:lang w:eastAsia="zh-CN" w:bidi="hi-I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546B"/>
    <w:rPr>
      <w:rFonts w:asciiTheme="majorHAnsi" w:eastAsiaTheme="majorEastAsia" w:hAnsiTheme="majorHAnsi" w:cstheme="majorBidi"/>
      <w:i/>
      <w:iCs/>
      <w:color w:val="404040" w:themeColor="text1" w:themeTint="BF"/>
      <w:lang w:eastAsia="zh-CN" w:bidi="hi-IN"/>
    </w:rPr>
  </w:style>
  <w:style w:type="table" w:styleId="Tabellenraster">
    <w:name w:val="Table Grid"/>
    <w:aliases w:val="Tabellenraster-Übersetzung"/>
    <w:basedOn w:val="NormaleTabelle"/>
    <w:uiPriority w:val="39"/>
    <w:rsid w:val="00AA546B"/>
    <w:pPr>
      <w:spacing w:after="0" w:line="240" w:lineRule="auto"/>
    </w:pPr>
    <w:rPr>
      <w:rFonts w:eastAsiaTheme="minorEastAsia"/>
      <w:lang w:eastAsia="zh-CN" w:bidi="hi-IN"/>
    </w:rPr>
    <w:tblPr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</w:style>
  <w:style w:type="paragraph" w:customStyle="1" w:styleId="lbs-dokumente">
    <w:name w:val="lbs-dokumente"/>
    <w:rsid w:val="00AA546B"/>
    <w:pPr>
      <w:spacing w:after="198" w:line="360" w:lineRule="auto"/>
    </w:pPr>
    <w:rPr>
      <w:rFonts w:ascii="Arial" w:eastAsiaTheme="minorEastAsia" w:hAnsi="Arial"/>
      <w:lang w:eastAsia="zh-CN" w:bidi="hi-IN"/>
    </w:rPr>
  </w:style>
  <w:style w:type="paragraph" w:customStyle="1" w:styleId="vokangabe2">
    <w:name w:val="vokangabe2"/>
    <w:basedOn w:val="Standard"/>
    <w:link w:val="vokangabe2Zchn"/>
    <w:autoRedefine/>
    <w:qFormat/>
    <w:rsid w:val="00AA546B"/>
    <w:pPr>
      <w:spacing w:after="60" w:line="264" w:lineRule="auto"/>
      <w:ind w:left="284" w:hanging="284"/>
    </w:pPr>
    <w:rPr>
      <w:rFonts w:ascii="Arial" w:eastAsia="Calibri" w:hAnsi="Arial" w:cs="Calibri"/>
      <w:noProof/>
      <w:sz w:val="20"/>
      <w:szCs w:val="20"/>
      <w:lang w:val="la-Latn" w:eastAsia="de-DE" w:bidi="ar-SA"/>
    </w:rPr>
  </w:style>
  <w:style w:type="character" w:customStyle="1" w:styleId="vokangabe2Zchn">
    <w:name w:val="vokangabe2 Zchn"/>
    <w:basedOn w:val="Absatz-Standardschriftart"/>
    <w:link w:val="vokangabe2"/>
    <w:rsid w:val="00AA546B"/>
    <w:rPr>
      <w:rFonts w:ascii="Arial" w:eastAsia="Calibri" w:hAnsi="Arial" w:cs="Calibri"/>
      <w:noProof/>
      <w:sz w:val="20"/>
      <w:szCs w:val="20"/>
      <w:lang w:val="la-Latn" w:eastAsia="de-DE"/>
    </w:rPr>
  </w:style>
  <w:style w:type="paragraph" w:styleId="Listenabsatz">
    <w:name w:val="List Paragraph"/>
    <w:basedOn w:val="Standard"/>
    <w:uiPriority w:val="34"/>
    <w:qFormat/>
    <w:rsid w:val="00751A03"/>
    <w:pPr>
      <w:ind w:left="720"/>
      <w:contextualSpacing/>
    </w:pPr>
    <w:rPr>
      <w:rFonts w:cs="Mangal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A7068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A7068"/>
    <w:rPr>
      <w:rFonts w:eastAsiaTheme="minorEastAsia" w:cs="Mangal"/>
      <w:szCs w:val="20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1A7068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A7068"/>
    <w:rPr>
      <w:rFonts w:eastAsiaTheme="minorEastAsia" w:cs="Mangal"/>
      <w:szCs w:val="20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9C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9C2"/>
    <w:rPr>
      <w:rFonts w:ascii="Segoe UI" w:eastAsiaTheme="minorEastAsia" w:hAnsi="Segoe UI" w:cs="Mangal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027CD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7CDF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71318D"/>
    <w:pPr>
      <w:suppressLineNumbers/>
    </w:pPr>
    <w:rPr>
      <w:sz w:val="21"/>
      <w:szCs w:val="21"/>
    </w:rPr>
  </w:style>
  <w:style w:type="paragraph" w:customStyle="1" w:styleId="western">
    <w:name w:val="western"/>
    <w:basedOn w:val="Standard"/>
    <w:rsid w:val="0071318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pons.com/&#252;bersetzung/latein-deuts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sprachen-und-literatur/latein/informationen-zum-fach/internetadressen/vokabeln-grammatik/lateinwoerterbuecher-im-internet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2020-11-14T19:58:00Z</dcterms:created>
  <dcterms:modified xsi:type="dcterms:W3CDTF">2020-11-24T13:16:00Z</dcterms:modified>
</cp:coreProperties>
</file>