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  <w:lang w:val="de-DE"/>
        </w:rPr>
        <w:t xml:space="preserve">Hinweise zum Fach Deutsch an der Berufsschule </w:t>
      </w:r>
    </w:p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de-DE"/>
        </w:rPr>
        <w:t>Der Bildungsplan f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 xml:space="preserve">r das Fach Deutsch an der Berufsschule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l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sst den Lehrerinnen und Lehrern Freir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ume, die einen Unterricht erm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glichen, der sich an den jeweiligen Voraussetzungen und Bed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rfnissen der Klassen orientiert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Style w:val="footnote reference"/>
          <w:rFonts w:ascii="Trebuchet MS" w:cs="Trebuchet MS" w:hAnsi="Trebuchet MS" w:eastAsia="Trebuchet MS"/>
        </w:rPr>
        <w:footnoteReference w:id="1"/>
      </w:r>
      <w:r>
        <w:rPr>
          <w:rFonts w:ascii="Trebuchet MS" w:hAnsi="Trebuchet MS"/>
          <w:rtl w:val="0"/>
          <w:lang w:val="de-DE"/>
        </w:rPr>
        <w:t xml:space="preserve">. In den einzelnen Schuljahren der Berufsschule sind einige der zu unterrichtenden Kompetenzbereiche als Schwerpunkt ausgewiesen, die je nach Anforderungsniveau oder Notwendigkeit durch die 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brigen Kompetenzbereiche erg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nzt werden.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tbl>
      <w:tblPr>
        <w:tblW w:w="90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468"/>
        <w:gridCol w:w="1588"/>
        <w:gridCol w:w="1510"/>
        <w:gridCol w:w="1490"/>
      </w:tblGrid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4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de-DE"/>
              </w:rPr>
              <w:t>Kompetenzbereiche im Fach Deutsch (BS)</w:t>
            </w:r>
          </w:p>
        </w:tc>
        <w:tc>
          <w:tcPr>
            <w:tcW w:type="dxa" w:w="1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Erstes Schuljahr</w:t>
            </w:r>
          </w:p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Zweites Schuljahr</w:t>
            </w:r>
          </w:p>
        </w:tc>
        <w:tc>
          <w:tcPr>
            <w:tcW w:type="dxa" w:w="1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Drittes Schuljahr</w:t>
            </w:r>
          </w:p>
        </w:tc>
      </w:tr>
      <w:tr>
        <w:tblPrEx>
          <w:shd w:val="clear" w:color="auto" w:fill="cdd4e9"/>
        </w:tblPrEx>
        <w:trPr>
          <w:trHeight w:val="1210" w:hRule="atLeast"/>
        </w:trPr>
        <w:tc>
          <w:tcPr>
            <w:tcW w:type="dxa" w:w="4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Sprechen und Zuh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ren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Schreiben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Sprache und Sprachgebrauch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Pragmatische Texte und Medienprodukte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Literarische Texte und Medienprodukte</w:t>
            </w:r>
          </w:p>
        </w:tc>
        <w:tc>
          <w:tcPr>
            <w:tcW w:type="dxa" w:w="1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Schwerpunkt</w:t>
            </w:r>
          </w:p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Schwerpunkt</w:t>
            </w:r>
            <w:r/>
          </w:p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Schwerpunkt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Schwerpunkt</w:t>
            </w:r>
          </w:p>
        </w:tc>
        <w:tc>
          <w:tcPr>
            <w:tcW w:type="dxa" w:w="1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Schwerpunkt</w:t>
            </w:r>
          </w:p>
        </w:tc>
      </w:tr>
    </w:tbl>
    <w:p>
      <w:pPr>
        <w:pStyle w:val="Normal.0"/>
        <w:widowControl w:val="0"/>
        <w:spacing w:line="288" w:lineRule="auto"/>
        <w:jc w:val="center"/>
        <w:rPr>
          <w:rFonts w:ascii="Trebuchet MS" w:cs="Trebuchet MS" w:hAnsi="Trebuchet MS" w:eastAsia="Trebuchet MS"/>
        </w:rPr>
      </w:pPr>
    </w:p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rebuchet MS" w:hAnsi="Trebuchet MS"/>
          <w:rtl w:val="0"/>
          <w:lang w:val="de-DE"/>
        </w:rPr>
        <w:t xml:space="preserve">Entsprechend des Bildungsplans liegt also im </w:t>
      </w:r>
      <w:r>
        <w:rPr>
          <w:rFonts w:ascii="Trebuchet MS" w:hAnsi="Trebuchet MS"/>
          <w:rtl w:val="0"/>
          <w:lang w:val="de-DE"/>
        </w:rPr>
        <w:t>zweiten</w:t>
      </w:r>
      <w:r>
        <w:rPr>
          <w:rFonts w:ascii="Trebuchet MS" w:hAnsi="Trebuchet MS"/>
          <w:rtl w:val="0"/>
          <w:lang w:val="de-DE"/>
        </w:rPr>
        <w:t xml:space="preserve"> Schuljahr der Schwerpunkt auf den Kompetenzbereichen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</w:t>
      </w:r>
      <w:r>
        <w:rPr>
          <w:rFonts w:ascii="Trebuchet MS" w:hAnsi="Trebuchet MS"/>
          <w:rtl w:val="0"/>
          <w:lang w:val="de-DE"/>
        </w:rPr>
        <w:t>chreiben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sowie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Sprache und Sprachgebrauch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 xml:space="preserve">. </w:t>
      </w:r>
      <w:r>
        <w:rPr>
          <w:rFonts w:ascii="Trebuchet MS" w:hAnsi="Trebuchet MS"/>
          <w:rtl w:val="0"/>
          <w:lang w:val="de-DE"/>
        </w:rPr>
        <w:t>So sollen die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lerinnen und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</w:t>
      </w:r>
      <w:r>
        <w:rPr>
          <w:rFonts w:ascii="Trebuchet MS" w:hAnsi="Trebuchet MS"/>
          <w:rtl w:val="0"/>
          <w:lang w:val="de-DE"/>
        </w:rPr>
        <w:t xml:space="preserve"> </w:t>
      </w:r>
      <w:r>
        <w:rPr>
          <w:rFonts w:ascii="Trebuchet MS" w:hAnsi="Trebuchet MS"/>
          <w:rtl w:val="0"/>
          <w:lang w:val="de-DE"/>
        </w:rPr>
        <w:t xml:space="preserve">in die Lage versetzt werden, gerade in beruflichen Situationen schriftlich angemessen zu handeln. Dem Kompetenzbereich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Pragmatische Texte und Medienpunkte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sind im Unterricht verbindlich zu unterrichtende Schreibformen zugeordnet, z.B. das Protokoll, die Dokumentation und </w:t>
      </w:r>
      <w:r>
        <w:rPr>
          <w:rFonts w:ascii="Trebuchet MS" w:hAnsi="Trebuchet MS"/>
          <w:rtl w:val="0"/>
          <w:lang w:val="de-DE"/>
        </w:rPr>
        <w:t xml:space="preserve">eben </w:t>
      </w:r>
      <w:r>
        <w:rPr>
          <w:rFonts w:ascii="Trebuchet MS" w:hAnsi="Trebuchet MS"/>
          <w:rtl w:val="0"/>
          <w:lang w:val="de-DE"/>
        </w:rPr>
        <w:t>der Gesch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ftsbrief.</w:t>
      </w:r>
    </w:p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</w:rPr>
      </w:pPr>
    </w:p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  <w:lang w:val="de-DE"/>
        </w:rPr>
        <w:t xml:space="preserve">Bildungsplanbezug des Moodle-Move-Kurses 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>„</w:t>
      </w:r>
      <w:r>
        <w:rPr>
          <w:rFonts w:ascii="Trebuchet MS" w:hAnsi="Trebuchet MS"/>
          <w:b w:val="1"/>
          <w:bCs w:val="1"/>
          <w:rtl w:val="0"/>
          <w:lang w:val="de-DE"/>
        </w:rPr>
        <w:t>Einen berufsbezogenen pragmatischen Text verfassen k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>ö</w:t>
      </w:r>
      <w:r>
        <w:rPr>
          <w:rFonts w:ascii="Trebuchet MS" w:hAnsi="Trebuchet MS"/>
          <w:b w:val="1"/>
          <w:bCs w:val="1"/>
          <w:rtl w:val="0"/>
          <w:lang w:val="de-DE"/>
        </w:rPr>
        <w:t>nnen. Am Beispiel eines Gesch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>ä</w:t>
      </w:r>
      <w:r>
        <w:rPr>
          <w:rFonts w:ascii="Trebuchet MS" w:hAnsi="Trebuchet MS"/>
          <w:b w:val="1"/>
          <w:bCs w:val="1"/>
          <w:rtl w:val="0"/>
          <w:lang w:val="de-DE"/>
        </w:rPr>
        <w:t>ftsbriefs.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>“</w:t>
      </w:r>
    </w:p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de-DE"/>
        </w:rPr>
        <w:t xml:space="preserve">In diesem Moodle-Kurs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Einen berufsbezogenen pragmatischen Text verfassen k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nnen. Am Beispiel eines Gesch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ftsbriefs</w:t>
      </w:r>
      <w:r>
        <w:rPr>
          <w:rFonts w:ascii="Trebuchet MS" w:hAnsi="Trebuchet MS" w:hint="default"/>
          <w:rtl w:val="0"/>
          <w:lang w:val="de-DE"/>
        </w:rPr>
        <w:t xml:space="preserve">“  </w:t>
      </w:r>
      <w:r>
        <w:rPr>
          <w:rFonts w:ascii="Trebuchet MS" w:hAnsi="Trebuchet MS"/>
          <w:rtl w:val="0"/>
          <w:lang w:val="de-DE"/>
        </w:rPr>
        <w:t>steht die F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 xml:space="preserve">rderung des Schreibprozesses, insbesondere die Fokussierung auf die </w:t>
      </w:r>
      <w:r>
        <w:rPr>
          <w:rFonts w:ascii="Trebuchet MS" w:hAnsi="Trebuchet MS"/>
          <w:rtl w:val="0"/>
          <w:lang w:val="de-DE"/>
        </w:rPr>
        <w:t>prozessbezogenen Kompetenzen</w:t>
      </w:r>
      <w:r>
        <w:rPr>
          <w:rFonts w:ascii="Trebuchet MS" w:hAnsi="Trebuchet MS"/>
          <w:rtl w:val="0"/>
          <w:lang w:val="de-DE"/>
        </w:rPr>
        <w:t xml:space="preserve">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Schreiben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und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Mit pragmatischen Texten und Medienprodukten umgehen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>,</w:t>
      </w:r>
      <w:r>
        <w:rPr>
          <w:rFonts w:ascii="Trebuchet MS" w:hAnsi="Trebuchet MS"/>
          <w:rtl w:val="0"/>
          <w:lang w:val="de-DE"/>
        </w:rPr>
        <w:t xml:space="preserve"> im Zentrum. </w:t>
      </w:r>
      <w:r>
        <w:rPr>
          <w:rFonts w:ascii="Trebuchet MS" w:hAnsi="Trebuchet MS"/>
          <w:rtl w:val="0"/>
          <w:lang w:val="de-DE"/>
        </w:rPr>
        <w:t>Dar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berhinaus soll beim eigenst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 xml:space="preserve">ndigen 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 xml:space="preserve">berarbeiten des Textprodukts der Kompetenzbereich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Sprache und Sprachgebrauch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geschult werden.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Fonts w:ascii="Trebuchet MS" w:hAnsi="Trebuchet MS"/>
          <w:rtl w:val="0"/>
          <w:lang w:val="de-DE"/>
        </w:rPr>
        <w:t>Laut Bildungsplan der Berufsschule f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r das Fach Deutsch sollen zwei dieser drei Kompetenzbereiche schwerpunktm</w:t>
      </w:r>
      <w:r>
        <w:rPr>
          <w:rFonts w:ascii="Trebuchet MS" w:hAnsi="Trebuchet MS" w:hint="default"/>
          <w:rtl w:val="0"/>
          <w:lang w:val="de-DE"/>
        </w:rPr>
        <w:t>äß</w:t>
      </w:r>
      <w:r>
        <w:rPr>
          <w:rFonts w:ascii="Trebuchet MS" w:hAnsi="Trebuchet MS"/>
          <w:rtl w:val="0"/>
          <w:lang w:val="de-DE"/>
        </w:rPr>
        <w:t>ig im zweiten Schuljahr unterrichtet werden (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Schreiben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und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Sprache und Sprachgebrauch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 xml:space="preserve">). </w:t>
      </w:r>
      <w:r>
        <w:rPr>
          <w:rFonts w:ascii="Trebuchet MS" w:hAnsi="Trebuchet MS"/>
          <w:rtl w:val="0"/>
          <w:lang w:val="de-DE"/>
        </w:rPr>
        <w:t xml:space="preserve">Somit bietet sich vorrangig ein Einsatz des Projektes und der gezeigten Inhalte im </w:t>
      </w:r>
      <w:r>
        <w:rPr>
          <w:rFonts w:ascii="Trebuchet MS" w:hAnsi="Trebuchet MS"/>
          <w:rtl w:val="0"/>
          <w:lang w:val="de-DE"/>
        </w:rPr>
        <w:t>zweiten</w:t>
      </w:r>
      <w:r>
        <w:rPr>
          <w:rFonts w:ascii="Trebuchet MS" w:hAnsi="Trebuchet MS"/>
          <w:rtl w:val="0"/>
          <w:lang w:val="de-DE"/>
        </w:rPr>
        <w:t xml:space="preserve"> Schuljahr der Berufsschule an</w:t>
      </w:r>
      <w:r>
        <w:rPr>
          <w:rFonts w:ascii="Trebuchet MS" w:hAnsi="Trebuchet MS"/>
          <w:rtl w:val="0"/>
          <w:lang w:val="de-DE"/>
        </w:rPr>
        <w:t xml:space="preserve">. </w:t>
      </w:r>
      <w:r>
        <w:rPr>
          <w:rFonts w:ascii="Trebuchet MS" w:hAnsi="Trebuchet MS"/>
          <w:rtl w:val="0"/>
          <w:lang w:val="de-DE"/>
        </w:rPr>
        <w:t xml:space="preserve">Doch auch im </w:t>
      </w:r>
      <w:r>
        <w:rPr>
          <w:rFonts w:ascii="Trebuchet MS" w:hAnsi="Trebuchet MS"/>
          <w:rtl w:val="0"/>
          <w:lang w:val="de-DE"/>
        </w:rPr>
        <w:t>ersten</w:t>
      </w:r>
      <w:r>
        <w:rPr>
          <w:rFonts w:ascii="Trebuchet MS" w:hAnsi="Trebuchet MS"/>
          <w:rtl w:val="0"/>
          <w:lang w:val="de-DE"/>
        </w:rPr>
        <w:t xml:space="preserve"> oder ggf. dritten Schuljahr kann gem</w:t>
      </w:r>
      <w:r>
        <w:rPr>
          <w:rFonts w:ascii="Trebuchet MS" w:hAnsi="Trebuchet MS" w:hint="default"/>
          <w:rtl w:val="0"/>
          <w:lang w:val="de-DE"/>
        </w:rPr>
        <w:t xml:space="preserve">äß </w:t>
      </w:r>
      <w:r>
        <w:rPr>
          <w:rFonts w:ascii="Trebuchet MS" w:hAnsi="Trebuchet MS"/>
          <w:rtl w:val="0"/>
          <w:lang w:val="de-DE"/>
        </w:rPr>
        <w:t>der im Bildungsplan gegebenen Freir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ume auf diesen Moodle-Kurs zur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ckgegriffen werden.</w:t>
      </w:r>
    </w:p>
    <w:p>
      <w:pPr>
        <w:pStyle w:val="Body Text"/>
        <w:spacing w:line="288" w:lineRule="auto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de-DE"/>
        </w:rPr>
        <w:t xml:space="preserve">Angekoppelt ist dieses Projekt zudem an das Lernfeldprojekt 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„</w:t>
      </w:r>
      <w:r>
        <w:rPr>
          <w:rFonts w:ascii="Trebuchet MS" w:hAnsi="Trebuchet MS"/>
          <w:sz w:val="22"/>
          <w:szCs w:val="22"/>
          <w:rtl w:val="0"/>
          <w:lang w:val="de-DE"/>
        </w:rPr>
        <w:t>Eine Hebelschere montieren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 xml:space="preserve">“ 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des Berufsfelds 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Metall. </w:t>
      </w:r>
      <w:r>
        <w:rPr>
          <w:rFonts w:ascii="Trebuchet MS" w:hAnsi="Trebuchet MS"/>
          <w:sz w:val="22"/>
          <w:szCs w:val="22"/>
          <w:rtl w:val="0"/>
          <w:lang w:val="de-DE"/>
        </w:rPr>
        <w:t>Jedoch kann das nachfolgend gezeigte Lernprojekt auch als eigenst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rtl w:val="0"/>
          <w:lang w:val="de-DE"/>
        </w:rPr>
        <w:t>ndiges Projekt f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r das Fach Deutsch an der Berufsschule stehen.</w:t>
      </w:r>
    </w:p>
    <w:p>
      <w:pPr>
        <w:pStyle w:val="Normal.0"/>
        <w:spacing w:line="288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.0"/>
        <w:spacing w:line="288" w:lineRule="auto"/>
        <w:jc w:val="both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  <w:lang w:val="de-DE"/>
        </w:rPr>
        <w:t>Didaktische Hinweise f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>ü</w:t>
      </w:r>
      <w:r>
        <w:rPr>
          <w:rFonts w:ascii="Trebuchet MS" w:hAnsi="Trebuchet MS"/>
          <w:b w:val="1"/>
          <w:bCs w:val="1"/>
          <w:rtl w:val="0"/>
          <w:lang w:val="de-DE"/>
        </w:rPr>
        <w:t>r Lehrkr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>ä</w:t>
      </w:r>
      <w:r>
        <w:rPr>
          <w:rFonts w:ascii="Trebuchet MS" w:hAnsi="Trebuchet MS"/>
          <w:b w:val="1"/>
          <w:bCs w:val="1"/>
          <w:rtl w:val="0"/>
          <w:lang w:val="de-DE"/>
        </w:rPr>
        <w:t>fte</w:t>
      </w:r>
    </w:p>
    <w:p>
      <w:pPr>
        <w:pStyle w:val="Body Text"/>
        <w:spacing w:line="288" w:lineRule="auto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de-DE"/>
        </w:rPr>
        <w:t xml:space="preserve">Ihren Ausgangspunkt nimmt das Lernprojekt in einer arbeits- und berufsweltlichen Handlungssituation, in der es darum geht, eine </w:t>
      </w:r>
      <w:r>
        <w:rPr>
          <w:rFonts w:ascii="Trebuchet MS" w:hAnsi="Trebuchet MS"/>
          <w:sz w:val="22"/>
          <w:szCs w:val="22"/>
          <w:rtl w:val="0"/>
          <w:lang w:val="de-DE"/>
        </w:rPr>
        <w:t>Anfrage zur Montage einer Hebelschere zu verfassen.</w:t>
      </w:r>
    </w:p>
    <w:p>
      <w:pPr>
        <w:pStyle w:val="Body Text"/>
        <w:spacing w:line="288" w:lineRule="auto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Body Text"/>
        <w:spacing w:line="288" w:lineRule="auto"/>
        <w:rPr>
          <w:rFonts w:ascii="Trebuchet MS" w:cs="Trebuchet MS" w:hAnsi="Trebuchet MS" w:eastAsia="Trebuchet MS"/>
        </w:rPr>
      </w:pP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 xml:space="preserve">Die Einzelteile der Hebelschere 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 xml:space="preserve">sind vorhanden, weshalb diese 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nun montiert werden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 xml:space="preserve"> soll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. Ihr Chef hat einen wichtigen betrieblichen Auftrag f</w:t>
      </w:r>
      <w:r>
        <w:rPr>
          <w:rFonts w:ascii="Trebuchet MS" w:hAnsi="Trebuchet MS" w:hint="default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ü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r Sie und deshalb k</w:t>
      </w:r>
      <w:r>
        <w:rPr>
          <w:rFonts w:ascii="Trebuchet MS" w:hAnsi="Trebuchet MS" w:hint="default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ö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 xml:space="preserve">nnen Sie die Montage nicht selbst </w:t>
      </w:r>
      <w:r>
        <w:rPr>
          <w:rFonts w:ascii="Trebuchet MS" w:hAnsi="Trebuchet MS" w:hint="default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ü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bernehmen. Die Montage der Hebelschere soll nach au</w:t>
      </w:r>
      <w:r>
        <w:rPr>
          <w:rFonts w:ascii="Trebuchet MS" w:hAnsi="Trebuchet MS" w:hint="default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ß</w:t>
      </w:r>
      <w:r>
        <w:rPr>
          <w:rFonts w:ascii="Trebuchet MS" w:hAnsi="Trebuchet MS"/>
          <w:b w:val="1"/>
          <w:bCs w:val="1"/>
          <w:i w:val="1"/>
          <w:iCs w:val="1"/>
          <w:sz w:val="22"/>
          <w:szCs w:val="22"/>
          <w:u w:color="212529"/>
          <w:rtl w:val="0"/>
          <w:lang w:val="de-DE"/>
        </w:rPr>
        <w:t>en gegeben werden.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Fonts w:ascii="Trebuchet MS" w:hAnsi="Trebuchet MS"/>
          <w:b w:val="1"/>
          <w:bCs w:val="1"/>
          <w:sz w:val="22"/>
          <w:szCs w:val="22"/>
          <w:rtl w:val="0"/>
          <w:lang w:val="de-DE"/>
        </w:rPr>
        <w:t>Vollst</w:t>
      </w:r>
      <w:r>
        <w:rPr>
          <w:rFonts w:ascii="Trebuchet MS" w:hAnsi="Trebuchet MS" w:hint="default"/>
          <w:b w:val="1"/>
          <w:bCs w:val="1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b w:val="1"/>
          <w:bCs w:val="1"/>
          <w:sz w:val="22"/>
          <w:szCs w:val="22"/>
          <w:rtl w:val="0"/>
          <w:lang w:val="de-DE"/>
        </w:rPr>
        <w:t xml:space="preserve">ndige Lernhandlung </w:t>
      </w:r>
      <w:r>
        <w:rPr>
          <w:rFonts w:ascii="Trebuchet MS" w:hAnsi="Trebuchet MS" w:hint="default"/>
          <w:b w:val="1"/>
          <w:bCs w:val="1"/>
          <w:sz w:val="22"/>
          <w:szCs w:val="22"/>
          <w:rtl w:val="0"/>
          <w:lang w:val="de-DE"/>
        </w:rPr>
        <w:t xml:space="preserve">– </w:t>
      </w:r>
      <w:r>
        <w:rPr>
          <w:rFonts w:ascii="Trebuchet MS" w:hAnsi="Trebuchet MS"/>
          <w:b w:val="1"/>
          <w:bCs w:val="1"/>
          <w:sz w:val="22"/>
          <w:szCs w:val="22"/>
          <w:rtl w:val="0"/>
          <w:lang w:val="de-DE"/>
        </w:rPr>
        <w:t>Berufliche Handlungskompetenz</w:t>
      </w:r>
    </w:p>
    <w:p>
      <w:pPr>
        <w:pStyle w:val="Body Text"/>
        <w:spacing w:line="288" w:lineRule="auto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rebuchet MS" w:hAnsi="Trebuchet MS"/>
          <w:sz w:val="22"/>
          <w:szCs w:val="22"/>
          <w:rtl w:val="0"/>
          <w:lang w:val="de-DE"/>
        </w:rPr>
        <w:t>Grunds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rtl w:val="0"/>
          <w:lang w:val="de-DE"/>
        </w:rPr>
        <w:t>tzlich liegt dem Konzept dieses Kurses das Modell der vollst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rtl w:val="0"/>
          <w:lang w:val="de-DE"/>
        </w:rPr>
        <w:t>ndigen Handlung zugrunde. So wird den Sch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lerinnen und Sch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ler ein handlungsorientiertes Lernen und ein Transfer auf vielf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rtl w:val="0"/>
          <w:lang w:val="de-DE"/>
        </w:rPr>
        <w:t>ltige Arbeitsprozesse im sp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rtl w:val="0"/>
          <w:lang w:val="de-DE"/>
        </w:rPr>
        <w:t>teren Berufsleben erm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ö</w:t>
      </w:r>
      <w:r>
        <w:rPr>
          <w:rFonts w:ascii="Trebuchet MS" w:hAnsi="Trebuchet MS"/>
          <w:sz w:val="22"/>
          <w:szCs w:val="22"/>
          <w:rtl w:val="0"/>
          <w:lang w:val="de-DE"/>
        </w:rPr>
        <w:t>glicht.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Das Konzept dieses Projektes zeichnet sich 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also 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dadurch aus, dass fachliche und 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berfachliche Kompetenzen miteinander verkn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pft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 werden</w:t>
      </w:r>
      <w:r>
        <w:rPr>
          <w:rFonts w:ascii="Trebuchet MS" w:hAnsi="Trebuchet MS"/>
          <w:sz w:val="22"/>
          <w:szCs w:val="22"/>
          <w:rtl w:val="0"/>
          <w:lang w:val="de-DE"/>
        </w:rPr>
        <w:t>, so dass f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r die Lernenden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 </w:t>
      </w:r>
      <w:r>
        <w:rPr>
          <w:rFonts w:ascii="Trebuchet MS" w:hAnsi="Trebuchet MS"/>
          <w:sz w:val="22"/>
          <w:szCs w:val="22"/>
          <w:rtl w:val="0"/>
          <w:lang w:val="de-DE"/>
        </w:rPr>
        <w:t>der Lebensweltbezug erhalten bleibt. Zu erwerbende Teilkompetenzen werden in der gezeigten Lernlandschaft verkn</w:t>
      </w:r>
      <w:r>
        <w:rPr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Fonts w:ascii="Trebuchet MS" w:hAnsi="Trebuchet MS"/>
          <w:sz w:val="22"/>
          <w:szCs w:val="22"/>
          <w:rtl w:val="0"/>
          <w:lang w:val="de-DE"/>
        </w:rPr>
        <w:t>pft und meth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2865372</wp:posOffset>
                </wp:positionH>
                <wp:positionV relativeFrom="page">
                  <wp:posOffset>4264426</wp:posOffset>
                </wp:positionV>
                <wp:extent cx="1825755" cy="96014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755" cy="96014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>Vollst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 xml:space="preserve">ndige Lernhandlung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>Berufliche Handlungs-kompetenz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143.8pt;height:75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adj="3240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  <w:lang w:val="de-DE"/>
                        </w:rPr>
                        <w:t>Vollst</w:t>
                      </w:r>
                      <w:r>
                        <w:rPr>
                          <w:sz w:val="22"/>
                          <w:szCs w:val="22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sz w:val="22"/>
                          <w:szCs w:val="22"/>
                          <w:rtl w:val="0"/>
                          <w:lang w:val="de-DE"/>
                        </w:rPr>
                        <w:t xml:space="preserve">ndige Lernhandlung </w:t>
                      </w:r>
                      <w:r>
                        <w:rPr>
                          <w:sz w:val="22"/>
                          <w:szCs w:val="22"/>
                          <w:rtl w:val="0"/>
                          <w:lang w:val="de-DE"/>
                        </w:rPr>
                        <w:t xml:space="preserve">– </w:t>
                      </w:r>
                      <w:r>
                        <w:rPr>
                          <w:sz w:val="22"/>
                          <w:szCs w:val="22"/>
                          <w:rtl w:val="0"/>
                          <w:lang w:val="de-DE"/>
                        </w:rPr>
                        <w:t>Berufliche Handlungs-kompetenz</w:t>
                      </w:r>
                    </w:p>
                  </w:txbxContent>
                </v:textbox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3166365</wp:posOffset>
                </wp:positionH>
                <wp:positionV relativeFrom="page">
                  <wp:posOffset>3839820</wp:posOffset>
                </wp:positionV>
                <wp:extent cx="1223770" cy="418257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770" cy="418257"/>
                        </a:xfrm>
                        <a:prstGeom prst="roundRect">
                          <a:avLst>
                            <a:gd name="adj" fmla="val 2308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Informieren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96.4pt;height:32.9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adj="4985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Informieren</w:t>
                      </w:r>
                    </w:p>
                  </w:txbxContent>
                </v:textbox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4697476</wp:posOffset>
                </wp:positionH>
                <wp:positionV relativeFrom="page">
                  <wp:posOffset>4535368</wp:posOffset>
                </wp:positionV>
                <wp:extent cx="1223770" cy="418257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770" cy="418257"/>
                        </a:xfrm>
                        <a:prstGeom prst="roundRect">
                          <a:avLst>
                            <a:gd name="adj" fmla="val 2308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Planen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96.4pt;height:32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adj="4985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Planen</w:t>
                      </w:r>
                    </w:p>
                  </w:txbxContent>
                </v:textbox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4085592</wp:posOffset>
                </wp:positionH>
                <wp:positionV relativeFrom="page">
                  <wp:posOffset>5289550</wp:posOffset>
                </wp:positionV>
                <wp:extent cx="1223770" cy="418257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770" cy="418257"/>
                        </a:xfrm>
                        <a:prstGeom prst="roundRect">
                          <a:avLst>
                            <a:gd name="adj" fmla="val 2308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Ausf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hren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9" style="visibility:visible;position:absolute;margin-left:0.0pt;margin-top:0.0pt;width:96.4pt;height:32.9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adj="4985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Ausf</w:t>
                      </w: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hren</w:t>
                      </w:r>
                    </w:p>
                  </w:txbxContent>
                </v:textbox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2247138</wp:posOffset>
                </wp:positionH>
                <wp:positionV relativeFrom="page">
                  <wp:posOffset>5289550</wp:posOffset>
                </wp:positionV>
                <wp:extent cx="1223770" cy="418257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770" cy="418257"/>
                        </a:xfrm>
                        <a:prstGeom prst="roundRect">
                          <a:avLst>
                            <a:gd name="adj" fmla="val 2308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Entscheiden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0" style="visibility:visible;position:absolute;margin-left:0.0pt;margin-top:0.0pt;width:96.4pt;height:32.9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adj="4985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Entscheiden</w:t>
                      </w:r>
                    </w:p>
                  </w:txbxContent>
                </v:textbox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4535368</wp:posOffset>
                </wp:positionV>
                <wp:extent cx="1276157" cy="418257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157" cy="418257"/>
                        </a:xfrm>
                        <a:prstGeom prst="roundRect">
                          <a:avLst>
                            <a:gd name="adj" fmla="val 2308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  <w:rtl w:val="0"/>
                                <w:lang w:val="de-DE"/>
                              </w:rPr>
                              <w:t>Kontrollieren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1" style="visibility:visible;position:absolute;margin-left:0.0pt;margin-top:0.0pt;width:100.5pt;height:32.9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 adj="4985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6"/>
                          <w:szCs w:val="26"/>
                          <w:rtl w:val="0"/>
                          <w:lang w:val="de-DE"/>
                        </w:rPr>
                        <w:t>Kontrollieren</w:t>
                      </w:r>
                    </w:p>
                  </w:txbxContent>
                </v:textbox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3591135</wp:posOffset>
                </wp:positionH>
                <wp:positionV relativeFrom="page">
                  <wp:posOffset>5353471</wp:posOffset>
                </wp:positionV>
                <wp:extent cx="374229" cy="290414"/>
                <wp:effectExtent l="1812" t="2343" r="1812" b="2343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56743">
                          <a:off x="0" y="0"/>
                          <a:ext cx="374229" cy="290414"/>
                        </a:xfrm>
                        <a:prstGeom prst="rightArrow">
                          <a:avLst>
                            <a:gd name="adj1" fmla="val 22895"/>
                            <a:gd name="adj2" fmla="val 73991"/>
                          </a:avLst>
                        </a:prstGeom>
                        <a:gradFill flip="none" rotWithShape="1">
                          <a:gsLst>
                            <a:gs pos="0">
                              <a:srgbClr val="80B860"/>
                            </a:gs>
                            <a:gs pos="50000">
                              <a:srgbClr val="6FB242"/>
                            </a:gs>
                            <a:gs pos="100000">
                              <a:srgbClr val="61A23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19050" dir="540000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type="#_x0000_t13" style="visibility:visible;position:absolute;margin-left:0.0pt;margin-top:0.0pt;width:29.5pt;height:22.9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rotation:11749232fd;" adj="9197,8327">
                <v:fill angle="0fd" focus="100%" colors="50.0% #6FB242" color="#80B860" opacity="100.0%" color2="#61A23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63" offset="0.0pt,1.5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4991664</wp:posOffset>
                </wp:positionV>
                <wp:extent cx="374229" cy="290414"/>
                <wp:effectExtent l="88784" t="48656" r="88784" b="48656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6743">
                          <a:off x="0" y="0"/>
                          <a:ext cx="374229" cy="290414"/>
                        </a:xfrm>
                        <a:prstGeom prst="rightArrow">
                          <a:avLst>
                            <a:gd name="adj1" fmla="val 22895"/>
                            <a:gd name="adj2" fmla="val 73991"/>
                          </a:avLst>
                        </a:prstGeom>
                        <a:gradFill flip="none" rotWithShape="1">
                          <a:gsLst>
                            <a:gs pos="0">
                              <a:srgbClr val="80B860"/>
                            </a:gs>
                            <a:gs pos="50000">
                              <a:srgbClr val="6FB242"/>
                            </a:gs>
                            <a:gs pos="100000">
                              <a:srgbClr val="61A23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19050" dir="540000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type="#_x0000_t13" style="visibility:visible;position:absolute;margin-left:0.0pt;margin-top:0.0pt;width:29.5pt;height:22.9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rotation:8734576fd;" adj="9197,8327">
                <v:fill angle="0fd" focus="100%" colors="50.0% #6FB242" color="#80B860" opacity="100.0%" color2="#61A23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63" offset="0.0pt,1.5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2059815</wp:posOffset>
                </wp:positionH>
                <wp:positionV relativeFrom="page">
                  <wp:posOffset>4953963</wp:posOffset>
                </wp:positionV>
                <wp:extent cx="374229" cy="290414"/>
                <wp:effectExtent l="78102" t="48799" r="78102" b="48799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6743">
                          <a:off x="0" y="0"/>
                          <a:ext cx="374229" cy="290414"/>
                        </a:xfrm>
                        <a:prstGeom prst="rightArrow">
                          <a:avLst>
                            <a:gd name="adj1" fmla="val 22895"/>
                            <a:gd name="adj2" fmla="val 73991"/>
                          </a:avLst>
                        </a:prstGeom>
                        <a:gradFill flip="none" rotWithShape="1">
                          <a:gsLst>
                            <a:gs pos="0">
                              <a:srgbClr val="80B860"/>
                            </a:gs>
                            <a:gs pos="50000">
                              <a:srgbClr val="6FB242"/>
                            </a:gs>
                            <a:gs pos="100000">
                              <a:srgbClr val="61A23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19050" dir="540000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4" type="#_x0000_t13" style="visibility:visible;position:absolute;margin-left:0.0pt;margin-top:0.0pt;width:29.5pt;height:22.9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rotation:15550320fd;" adj="9197,8327">
                <v:fill angle="0fd" focus="100%" colors="50.0% #6FB242" color="#80B860" opacity="100.0%" color2="#61A23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63" offset="0.0pt,1.5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2340455</wp:posOffset>
                </wp:positionH>
                <wp:positionV relativeFrom="page">
                  <wp:posOffset>4151269</wp:posOffset>
                </wp:positionV>
                <wp:extent cx="374229" cy="290414"/>
                <wp:effectExtent l="49689" t="85316" r="49689" b="85316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5024">
                          <a:off x="0" y="0"/>
                          <a:ext cx="374229" cy="290414"/>
                        </a:xfrm>
                        <a:prstGeom prst="rightArrow">
                          <a:avLst>
                            <a:gd name="adj1" fmla="val 22895"/>
                            <a:gd name="adj2" fmla="val 73991"/>
                          </a:avLst>
                        </a:prstGeom>
                        <a:gradFill flip="none" rotWithShape="1">
                          <a:gsLst>
                            <a:gs pos="0">
                              <a:srgbClr val="80B860"/>
                            </a:gs>
                            <a:gs pos="50000">
                              <a:srgbClr val="6FB242"/>
                            </a:gs>
                            <a:gs pos="100000">
                              <a:srgbClr val="61A23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19050" dir="540000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type="#_x0000_t13" style="visibility:visible;position:absolute;margin-left:0.0pt;margin-top:0.0pt;width:29.5pt;height:22.9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rotation:21042544fd;" adj="9197,8327">
                <v:fill angle="0fd" focus="100%" colors="50.0% #6FB242" color="#80B860" opacity="100.0%" color2="#61A23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63" offset="0.0pt,1.5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4782475</wp:posOffset>
                </wp:positionH>
                <wp:positionV relativeFrom="page">
                  <wp:posOffset>4123956</wp:posOffset>
                </wp:positionV>
                <wp:extent cx="374229" cy="290414"/>
                <wp:effectExtent l="87784" t="49150" r="87784" b="4915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90007">
                          <a:off x="0" y="0"/>
                          <a:ext cx="374229" cy="290414"/>
                        </a:xfrm>
                        <a:prstGeom prst="rightArrow">
                          <a:avLst>
                            <a:gd name="adj1" fmla="val 22895"/>
                            <a:gd name="adj2" fmla="val 73991"/>
                          </a:avLst>
                        </a:prstGeom>
                        <a:gradFill flip="none" rotWithShape="1">
                          <a:gsLst>
                            <a:gs pos="0">
                              <a:srgbClr val="80B860"/>
                            </a:gs>
                            <a:gs pos="50000">
                              <a:srgbClr val="6FB242"/>
                            </a:gs>
                            <a:gs pos="100000">
                              <a:srgbClr val="61A23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19050" dir="540000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6" type="#_x0000_t13" style="visibility:visible;position:absolute;margin-left:0.0pt;margin-top:0.0pt;width:29.5pt;height:22.9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rotation:3156658fd;" adj="9197,8327">
                <v:fill angle="0fd" focus="100%" colors="50.0% #6FB242" color="#80B860" opacity="100.0%" color2="#61A23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63" offset="0.0pt,1.5pt"/>
                <w10:wrap type="none" side="bothSides" anchorx="page" anchory="page"/>
              </v:shape>
            </w:pict>
          </mc:Fallback>
        </mc:AlternateContent>
      </w:r>
      <w:r>
        <w:rPr>
          <w:rFonts w:ascii="Trebuchet MS" w:hAnsi="Trebuchet MS"/>
          <w:sz w:val="22"/>
          <w:szCs w:val="22"/>
          <w:rtl w:val="0"/>
          <w:lang w:val="de-DE"/>
        </w:rPr>
        <w:t>odisch angepasst umgesetzt.</w:t>
      </w:r>
    </w:p>
    <w:p>
      <w:pPr>
        <w:pStyle w:val="Normal.0"/>
        <w:tabs>
          <w:tab w:val="left" w:pos="7797"/>
        </w:tabs>
        <w:spacing w:line="288" w:lineRule="auto"/>
        <w:jc w:val="both"/>
      </w:pPr>
      <w:r>
        <w:rPr>
          <w:rFonts w:ascii="Trebuchet MS" w:hAnsi="Trebuchet MS"/>
          <w:rtl w:val="0"/>
          <w:lang w:val="de-DE"/>
        </w:rPr>
        <w:t>Das Lernprojekt wird zun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 xml:space="preserve">chst durch einen </w:t>
      </w:r>
      <w:r>
        <w:rPr>
          <w:rFonts w:ascii="Trebuchet MS" w:hAnsi="Trebuchet MS"/>
          <w:b w:val="1"/>
          <w:bCs w:val="1"/>
          <w:rtl w:val="0"/>
          <w:lang w:val="de-DE"/>
        </w:rPr>
        <w:t>Advance Organizer</w:t>
      </w:r>
      <w:r>
        <w:rPr>
          <w:rFonts w:ascii="Trebuchet MS" w:hAnsi="Trebuchet MS"/>
          <w:rtl w:val="0"/>
          <w:lang w:val="de-DE"/>
        </w:rPr>
        <w:t xml:space="preserve"> visualisiert, der die Lernthemen und deren </w:t>
      </w:r>
      <w:r>
        <w:rPr>
          <w:rFonts w:ascii="Trebuchet MS" w:hAnsi="Trebuchet MS"/>
          <w:rtl w:val="0"/>
          <w:lang w:val="de-DE"/>
        </w:rPr>
        <w:t>Z</w:t>
      </w:r>
      <w:r>
        <w:rPr>
          <w:rFonts w:ascii="Trebuchet MS" w:hAnsi="Trebuchet MS"/>
          <w:rtl w:val="0"/>
          <w:lang w:val="de-DE"/>
        </w:rPr>
        <w:t>usammenh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nge aufzeigt sowie an das Vorwissen der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lerinnen und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 ankn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 xml:space="preserve">pft. Die </w:t>
      </w:r>
      <w:r>
        <w:rPr>
          <w:rFonts w:ascii="Trebuchet MS" w:hAnsi="Trebuchet MS"/>
          <w:b w:val="1"/>
          <w:bCs w:val="1"/>
          <w:rtl w:val="0"/>
          <w:lang w:val="de-DE"/>
        </w:rPr>
        <w:t>Lernwegeliste</w:t>
      </w:r>
      <w:r>
        <w:rPr>
          <w:rFonts w:ascii="Trebuchet MS" w:hAnsi="Trebuchet MS"/>
          <w:rtl w:val="0"/>
          <w:lang w:val="de-DE"/>
        </w:rPr>
        <w:t xml:space="preserve"> listet in einem zweiten Schritt alle zu f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 xml:space="preserve">rdernden fachlichen wie auch 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 xml:space="preserve">berfachlichen Teilkompetenzen als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Ich kann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>-Formulierung auf, die in diesem Projekt erworben werden k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nnen. Dies geschieht im Rahmen von drei Anforderungsniveaus (A: moderat, B: gehoben, C: komplex</w:t>
      </w:r>
      <w:r>
        <w:rPr>
          <w:rStyle w:val="footnote reference"/>
          <w:rFonts w:ascii="Trebuchet MS" w:cs="Trebuchet MS" w:hAnsi="Trebuchet MS" w:eastAsia="Trebuchet MS"/>
        </w:rPr>
        <w:footnoteReference w:id="2"/>
      </w:r>
      <w:r>
        <w:rPr>
          <w:rFonts w:ascii="Trebuchet MS" w:hAnsi="Trebuchet MS"/>
          <w:rtl w:val="0"/>
          <w:lang w:val="de-DE"/>
        </w:rPr>
        <w:t>), die auch im Bildungsplan Deutsch an der Berufsschule ausgewiesen werden. Mit Hilfe dieser Lernwegeliste entscheiden die Lernenden dann selbstst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ndig, welche Kompetenzen sie noch erwerben oder bereits vorweisen k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nnen. Zum Erwerb der noch ausstehenden Kompetenzen k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 xml:space="preserve">nnen die Lernenden entsprechend ihres Niveaus die angebotenen </w:t>
      </w:r>
      <w:r>
        <w:rPr>
          <w:rFonts w:ascii="Trebuchet MS" w:hAnsi="Trebuchet MS"/>
          <w:b w:val="1"/>
          <w:bCs w:val="1"/>
          <w:rtl w:val="0"/>
          <w:lang w:val="de-DE"/>
        </w:rPr>
        <w:t>Lernthemen</w:t>
      </w:r>
      <w:r>
        <w:rPr>
          <w:rFonts w:ascii="Trebuchet MS" w:hAnsi="Trebuchet MS"/>
          <w:rtl w:val="0"/>
          <w:lang w:val="de-DE"/>
        </w:rPr>
        <w:t xml:space="preserve">, bzw. </w:t>
      </w:r>
      <w:r>
        <w:rPr>
          <w:rFonts w:ascii="Trebuchet MS" w:hAnsi="Trebuchet MS"/>
          <w:b w:val="1"/>
          <w:bCs w:val="1"/>
          <w:rtl w:val="0"/>
          <w:lang w:val="de-DE"/>
        </w:rPr>
        <w:t>Lernschritte</w:t>
      </w:r>
      <w:r>
        <w:rPr>
          <w:rFonts w:ascii="Trebuchet MS" w:hAnsi="Trebuchet MS"/>
          <w:rtl w:val="0"/>
          <w:lang w:val="de-DE"/>
        </w:rPr>
        <w:t xml:space="preserve"> mit Arbeitsauftr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gen und entsprechenden L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sungshilfen zur Hilfe nehmen. Abschlie</w:t>
      </w:r>
      <w:r>
        <w:rPr>
          <w:rFonts w:ascii="Trebuchet MS" w:hAnsi="Trebuchet MS" w:hint="default"/>
          <w:rtl w:val="0"/>
          <w:lang w:val="de-DE"/>
        </w:rPr>
        <w:t>ß</w:t>
      </w:r>
      <w:r>
        <w:rPr>
          <w:rFonts w:ascii="Trebuchet MS" w:hAnsi="Trebuchet MS"/>
          <w:rtl w:val="0"/>
          <w:lang w:val="de-DE"/>
        </w:rPr>
        <w:t>en</w:t>
      </w:r>
      <w:r>
        <w:rPr>
          <w:rFonts w:ascii="Trebuchet MS" w:hAnsi="Trebuchet MS"/>
          <w:rtl w:val="0"/>
          <w:lang w:val="de-DE"/>
        </w:rPr>
        <w:t>d</w:t>
      </w:r>
      <w:r>
        <w:rPr>
          <w:rFonts w:ascii="Trebuchet MS" w:hAnsi="Trebuchet MS"/>
          <w:rtl w:val="0"/>
          <w:lang w:val="de-DE"/>
        </w:rPr>
        <w:t xml:space="preserve"> </w:t>
      </w:r>
      <w:r>
        <w:rPr>
          <w:rFonts w:ascii="Trebuchet MS" w:hAnsi="Trebuchet MS"/>
          <w:b w:val="1"/>
          <w:bCs w:val="1"/>
          <w:rtl w:val="0"/>
          <w:lang w:val="de-DE"/>
        </w:rPr>
        <w:t>reflektieren</w:t>
      </w:r>
      <w:r>
        <w:rPr>
          <w:rFonts w:ascii="Trebuchet MS" w:hAnsi="Trebuchet MS"/>
          <w:rtl w:val="0"/>
          <w:lang w:val="de-DE"/>
        </w:rPr>
        <w:t xml:space="preserve"> sie ihren Lernweg und dokumentieren die erworbenen Kompetenzen in der Lernwegeliste</w:t>
      </w:r>
      <w:r>
        <w:rPr>
          <w:rFonts w:ascii="Trebuchet MS" w:hAnsi="Trebuchet MS"/>
          <w:rtl w:val="0"/>
          <w:lang w:val="de-DE"/>
        </w:rPr>
        <w:t xml:space="preserve"> bzw. am Ende anhand der Lernfortschrittsliste</w:t>
      </w:r>
      <w:r>
        <w:rPr>
          <w:rFonts w:ascii="Trebuchet MS" w:hAnsi="Trebuchet MS"/>
          <w:rtl w:val="0"/>
          <w:lang w:val="de-DE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  <w:br w:type="page"/>
      </w:r>
    </w:p>
    <w:p>
      <w:pPr>
        <w:pStyle w:val="Normal.0"/>
        <w:tabs>
          <w:tab w:val="left" w:pos="7797"/>
        </w:tabs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de-DE"/>
        </w:rPr>
        <w:t xml:space="preserve">Da das Modell (s.o.) seinen Fokus insbesondere auf die Stufe der Reflexion und der Produktionsorientierung legt, steht am Ende eines jeden Lernthemas die Erstellung eines </w:t>
      </w:r>
      <w:r>
        <w:rPr>
          <w:rFonts w:ascii="Trebuchet MS" w:hAnsi="Trebuchet MS"/>
          <w:b w:val="1"/>
          <w:bCs w:val="1"/>
          <w:rtl w:val="0"/>
          <w:lang w:val="de-DE"/>
        </w:rPr>
        <w:t>Handlungsprodukts</w:t>
      </w:r>
      <w:r>
        <w:rPr>
          <w:rFonts w:ascii="Trebuchet MS" w:hAnsi="Trebuchet MS"/>
          <w:rtl w:val="0"/>
          <w:lang w:val="de-DE"/>
        </w:rPr>
        <w:t xml:space="preserve"> als Aufgabe f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r die Lernenden zur Verf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gung, um die vollst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 xml:space="preserve">ndige Handlung auch in der Allgemeinbildung abzubilden.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Fonts w:ascii="Trebuchet MS" w:hAnsi="Trebuchet MS"/>
          <w:rtl w:val="0"/>
          <w:lang w:val="de-DE"/>
        </w:rPr>
        <w:t xml:space="preserve">Der </w:t>
      </w:r>
      <w:r>
        <w:rPr>
          <w:rFonts w:ascii="Trebuchet MS" w:hAnsi="Trebuchet MS"/>
          <w:b w:val="1"/>
          <w:bCs w:val="1"/>
          <w:rtl w:val="0"/>
          <w:lang w:val="de-DE"/>
        </w:rPr>
        <w:t>zeitliche Umfang</w:t>
      </w:r>
      <w:r>
        <w:rPr>
          <w:rFonts w:ascii="Trebuchet MS" w:hAnsi="Trebuchet MS"/>
          <w:rtl w:val="0"/>
          <w:lang w:val="de-DE"/>
        </w:rPr>
        <w:t xml:space="preserve"> dieses Projekts betr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 xml:space="preserve">gt </w:t>
      </w:r>
      <w:r>
        <w:rPr>
          <w:rFonts w:ascii="Trebuchet MS" w:hAnsi="Trebuchet MS"/>
          <w:rtl w:val="0"/>
          <w:lang w:val="de-DE"/>
        </w:rPr>
        <w:t>ungef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hr f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nf bis 6</w:t>
      </w:r>
      <w:r>
        <w:rPr>
          <w:rFonts w:ascii="Trebuchet MS" w:hAnsi="Trebuchet MS"/>
          <w:rtl w:val="0"/>
          <w:lang w:val="de-DE"/>
        </w:rPr>
        <w:t xml:space="preserve"> </w:t>
      </w:r>
      <w:r>
        <w:rPr>
          <w:rFonts w:ascii="Trebuchet MS" w:hAnsi="Trebuchet MS"/>
          <w:rtl w:val="0"/>
          <w:lang w:val="de-DE"/>
        </w:rPr>
        <w:t>Einzels</w:t>
      </w:r>
      <w:r>
        <w:rPr>
          <w:rFonts w:ascii="Trebuchet MS" w:hAnsi="Trebuchet MS"/>
          <w:rtl w:val="0"/>
          <w:lang w:val="de-DE"/>
        </w:rPr>
        <w:t>tunden und kann an die Voraussetzungen und Bed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rfnisse der jeweiligen Klasse angepasst werden.</w:t>
      </w:r>
    </w:p>
    <w:p>
      <w:pPr>
        <w:pStyle w:val="Normal.0"/>
        <w:tabs>
          <w:tab w:val="left" w:pos="7797"/>
        </w:tabs>
        <w:spacing w:line="288" w:lineRule="auto"/>
        <w:jc w:val="both"/>
        <w:rPr>
          <w:rFonts w:ascii="Trebuchet MS" w:cs="Trebuchet MS" w:hAnsi="Trebuchet MS" w:eastAsia="Trebuchet MS"/>
          <w:b w:val="1"/>
          <w:b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rebuchet MS" w:hAnsi="Trebuchet MS"/>
          <w:b w:val="1"/>
          <w:bCs w:val="1"/>
          <w:rtl w:val="0"/>
          <w:lang w:val="de-DE"/>
        </w:rPr>
        <w:t xml:space="preserve">Kognitive Aktivierung der Lernenden </w:t>
      </w:r>
      <w:r>
        <w:rPr>
          <w:rFonts w:ascii="Trebuchet MS" w:hAnsi="Trebuchet MS" w:hint="default"/>
          <w:b w:val="1"/>
          <w:bCs w:val="1"/>
          <w:rtl w:val="0"/>
          <w:lang w:val="de-DE"/>
        </w:rPr>
        <w:t xml:space="preserve">– </w:t>
      </w:r>
      <w:r>
        <w:rPr>
          <w:rFonts w:ascii="Trebuchet MS" w:hAnsi="Trebuchet MS"/>
          <w:b w:val="1"/>
          <w:bCs w:val="1"/>
          <w:rtl w:val="0"/>
          <w:lang w:val="de-DE"/>
        </w:rPr>
        <w:t>Woher? Wohin? Wie?</w:t>
      </w:r>
    </w:p>
    <w:p>
      <w:pPr>
        <w:pStyle w:val="Normal.0"/>
        <w:tabs>
          <w:tab w:val="left" w:pos="7797"/>
        </w:tabs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de-DE"/>
        </w:rPr>
        <w:t xml:space="preserve">Um im Rahmen des Projekts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Einen berufsbezogenen pragmatischen Text verfassen k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nnen. Am Beispiel eines Gesch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ftsbriefs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>einen kognitiv wirksamen und aktivierenden Lernprozess auszul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sen, muss ein besonderes Augenmerk auf das Lernziel (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Wohin?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>), das Vorwissen</w:t>
      </w:r>
      <w:r>
        <w:rPr>
          <w:rFonts w:ascii="Trebuchet MS" w:cs="Trebuchet MS" w:hAnsi="Trebuchet MS" w:eastAsia="Trebuchet M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3639462</wp:posOffset>
            </wp:positionH>
            <wp:positionV relativeFrom="line">
              <wp:posOffset>190923</wp:posOffset>
            </wp:positionV>
            <wp:extent cx="2111098" cy="149101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098" cy="14910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rtl w:val="0"/>
          <w:lang w:val="de-DE"/>
        </w:rPr>
        <w:t xml:space="preserve"> (</w:t>
      </w:r>
      <w:r>
        <w:rPr>
          <w:rFonts w:ascii="Trebuchet MS" w:hAnsi="Trebuchet MS" w:hint="default"/>
          <w:rtl w:val="0"/>
          <w:lang w:val="de-DE"/>
        </w:rPr>
        <w:t xml:space="preserve">„ </w:t>
      </w:r>
      <w:r>
        <w:rPr>
          <w:rFonts w:ascii="Trebuchet MS" w:hAnsi="Trebuchet MS"/>
          <w:rtl w:val="0"/>
          <w:lang w:val="de-DE"/>
        </w:rPr>
        <w:t>Woher</w:t>
      </w:r>
      <w:r>
        <w:rPr>
          <w:rFonts w:ascii="Trebuchet MS" w:hAnsi="Trebuchet MS"/>
          <w:rtl w:val="0"/>
          <w:lang w:val="de-DE"/>
        </w:rPr>
        <w:t>?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>) und das Anregen kognitiver Prozesse (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Wie</w:t>
      </w:r>
      <w:r>
        <w:rPr>
          <w:rFonts w:ascii="Trebuchet MS" w:hAnsi="Trebuchet MS"/>
          <w:rtl w:val="0"/>
          <w:lang w:val="de-DE"/>
        </w:rPr>
        <w:t>?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>) gelegt werden.</w:t>
      </w:r>
    </w:p>
    <w:p>
      <w:pPr>
        <w:pStyle w:val="Normal.0"/>
        <w:tabs>
          <w:tab w:val="left" w:pos="7797"/>
        </w:tabs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de-DE"/>
        </w:rPr>
        <w:t>Als Vorwissen (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Woher?) sollten die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lerinnen und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 Grundlagen zur Gestaltung und zum Verfassen von Briefen in unterschiedlichen Zusammenh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ngen und Situationen mitbringen. Denkbar ist dabei die Ankn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 xml:space="preserve">pfung an Vorwissen 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ber das Schreiben und den Aufbau von Liebesbriefen, Tagebucheintr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gen, aber auch anderen Briefformen wie der Einladung, dem K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ndigungs- und Bewerbungsschreiben.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rebuchet MS" w:hAnsi="Trebuchet MS"/>
          <w:rtl w:val="0"/>
          <w:lang w:val="de-DE"/>
        </w:rPr>
        <w:t xml:space="preserve">Ebenso sollten </w:t>
      </w:r>
      <w:r>
        <w:rPr>
          <w:rFonts w:ascii="Trebuchet MS" w:hAnsi="Trebuchet MS"/>
          <w:rtl w:val="0"/>
          <w:lang w:val="de-DE"/>
        </w:rPr>
        <w:t>die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lerInnen und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</w:t>
      </w:r>
      <w:r>
        <w:rPr>
          <w:rFonts w:ascii="Trebuchet MS" w:hAnsi="Trebuchet MS" w:hint="default"/>
          <w:rtl w:val="0"/>
          <w:lang w:val="de-DE"/>
        </w:rPr>
        <w:t xml:space="preserve"> ü</w:t>
      </w:r>
      <w:r>
        <w:rPr>
          <w:rFonts w:ascii="Trebuchet MS" w:hAnsi="Trebuchet MS"/>
          <w:rtl w:val="0"/>
          <w:lang w:val="de-DE"/>
        </w:rPr>
        <w:t xml:space="preserve">ber Basiswissen zum Planen, Verfassen und 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berarbeiten von Texten verf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gen. Es ist davon auszugehen, dass die Sch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ler</w:t>
      </w:r>
      <w:r>
        <w:rPr>
          <w:rFonts w:ascii="Trebuchet MS" w:hAnsi="Trebuchet MS"/>
          <w:rtl w:val="0"/>
          <w:lang w:val="de-DE"/>
        </w:rPr>
        <w:t xml:space="preserve"> </w:t>
      </w:r>
      <w:r>
        <w:rPr>
          <w:rFonts w:ascii="Trebuchet MS" w:hAnsi="Trebuchet MS"/>
          <w:rtl w:val="0"/>
          <w:lang w:val="de-DE"/>
        </w:rPr>
        <w:t>dieses Wissen bereits in vorausgegangenen Bildungsg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ngen erworben haben.</w:t>
      </w:r>
    </w:p>
    <w:p>
      <w:pPr>
        <w:pStyle w:val="Normal.0"/>
        <w:tabs>
          <w:tab w:val="left" w:pos="7797"/>
        </w:tabs>
        <w:spacing w:line="288" w:lineRule="auto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de-DE"/>
        </w:rPr>
        <w:t>An dieses Vorwissen kn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>pfen die</w:t>
      </w:r>
      <w:r>
        <w:rPr>
          <w:rFonts w:ascii="Trebuchet MS" w:hAnsi="Trebuchet MS"/>
          <w:rtl w:val="0"/>
          <w:lang w:val="de-DE"/>
        </w:rPr>
        <w:t xml:space="preserve"> drei</w:t>
      </w:r>
      <w:r>
        <w:rPr>
          <w:rFonts w:ascii="Trebuchet MS" w:hAnsi="Trebuchet MS"/>
          <w:rtl w:val="0"/>
          <w:lang w:val="de-DE"/>
        </w:rPr>
        <w:t xml:space="preserve"> Kompetenzbereiche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</w:t>
      </w:r>
      <w:r>
        <w:rPr>
          <w:rFonts w:ascii="Trebuchet MS" w:hAnsi="Trebuchet MS"/>
          <w:rtl w:val="0"/>
          <w:lang w:val="de-DE"/>
        </w:rPr>
        <w:t>chreiben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 xml:space="preserve">,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Sprache und Sprachgebrauch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 xml:space="preserve">, und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pragmatische Texte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im </w:t>
      </w:r>
      <w:r>
        <w:rPr>
          <w:rFonts w:ascii="Trebuchet MS" w:hAnsi="Trebuchet MS"/>
          <w:rtl w:val="0"/>
          <w:lang w:val="de-DE"/>
        </w:rPr>
        <w:t>ersten bzw. vor allem zweiten</w:t>
      </w:r>
      <w:r>
        <w:rPr>
          <w:rFonts w:ascii="Trebuchet MS" w:hAnsi="Trebuchet MS"/>
          <w:rtl w:val="0"/>
          <w:lang w:val="de-DE"/>
        </w:rPr>
        <w:t xml:space="preserve"> Schuljahr an und versetzen die Lernenden in die Lage, am Ende des Projektes das Lernziel (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>Wohin</w:t>
      </w:r>
      <w:r>
        <w:rPr>
          <w:rFonts w:ascii="Trebuchet MS" w:hAnsi="Trebuchet MS" w:hint="default"/>
          <w:rtl w:val="0"/>
          <w:lang w:val="de-DE"/>
        </w:rPr>
        <w:t>“</w:t>
      </w:r>
      <w:r>
        <w:rPr>
          <w:rFonts w:ascii="Trebuchet MS" w:hAnsi="Trebuchet MS"/>
          <w:rtl w:val="0"/>
          <w:lang w:val="de-DE"/>
        </w:rPr>
        <w:t xml:space="preserve">) </w:t>
      </w:r>
      <w:r>
        <w:rPr>
          <w:rFonts w:ascii="Trebuchet MS" w:hAnsi="Trebuchet MS" w:hint="default"/>
          <w:rtl w:val="0"/>
          <w:lang w:val="de-DE"/>
        </w:rPr>
        <w:t>„</w:t>
      </w:r>
      <w:r>
        <w:rPr>
          <w:rFonts w:ascii="Trebuchet MS" w:hAnsi="Trebuchet MS"/>
          <w:rtl w:val="0"/>
          <w:lang w:val="de-DE"/>
        </w:rPr>
        <w:t>Einen berufsbezogenen pragmatischen Text verfassen k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>nnen. Am Beispiel eines Gesch</w:t>
      </w:r>
      <w:r>
        <w:rPr>
          <w:rFonts w:ascii="Trebuchet MS" w:hAnsi="Trebuchet MS" w:hint="default"/>
          <w:rtl w:val="0"/>
          <w:lang w:val="de-DE"/>
        </w:rPr>
        <w:t>ä</w:t>
      </w:r>
      <w:r>
        <w:rPr>
          <w:rFonts w:ascii="Trebuchet MS" w:hAnsi="Trebuchet MS"/>
          <w:rtl w:val="0"/>
          <w:lang w:val="de-DE"/>
        </w:rPr>
        <w:t>ftsbriefs</w:t>
      </w:r>
      <w:r>
        <w:rPr>
          <w:rFonts w:ascii="Trebuchet MS" w:hAnsi="Trebuchet MS" w:hint="default"/>
          <w:rtl w:val="0"/>
          <w:lang w:val="de-DE"/>
        </w:rPr>
        <w:t xml:space="preserve">“ </w:t>
      </w:r>
      <w:r>
        <w:rPr>
          <w:rFonts w:ascii="Trebuchet MS" w:hAnsi="Trebuchet MS"/>
          <w:rtl w:val="0"/>
          <w:lang w:val="de-DE"/>
        </w:rPr>
        <w:t xml:space="preserve">zu erreichen. </w:t>
      </w:r>
    </w:p>
    <w:p>
      <w:pPr>
        <w:pStyle w:val="Normal.0"/>
        <w:tabs>
          <w:tab w:val="left" w:pos="7797"/>
        </w:tabs>
        <w:spacing w:line="288" w:lineRule="auto"/>
        <w:jc w:val="both"/>
      </w:pPr>
      <w:r>
        <w:rPr>
          <w:rtl w:val="0"/>
          <w:lang w:val="de-DE"/>
        </w:rPr>
        <w:t>Anhand der im Kurs abgebildeten Materialien (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Wie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)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sich die 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lerinnen und 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ler selbstst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ndig und eigenverantwortlich erarbeiten, </w:t>
      </w:r>
      <w:r>
        <w:rPr>
          <w:rtl w:val="0"/>
          <w:lang w:val="de-DE"/>
        </w:rPr>
        <w:t>welche Formalien ein Brief bzw. ein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ftsbrief aufweist und welche Arten des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ftsbriefs es gibt. Die Lernenden wenden das Gelernte an, indem sie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 xml:space="preserve">ausgehend vom Szenario </w:t>
      </w:r>
      <w:r>
        <w:rPr>
          <w:rtl w:val="0"/>
          <w:lang w:val="de-DE"/>
        </w:rPr>
        <w:t>‚</w:t>
      </w:r>
      <w:r>
        <w:rPr>
          <w:rtl w:val="0"/>
          <w:lang w:val="de-DE"/>
        </w:rPr>
        <w:t>Hebelschere</w:t>
      </w:r>
      <w:r>
        <w:rPr>
          <w:rtl w:val="0"/>
          <w:lang w:val="de-DE"/>
        </w:rPr>
        <w:t xml:space="preserve">‘ – </w:t>
      </w:r>
      <w:r>
        <w:rPr>
          <w:rtl w:val="0"/>
          <w:lang w:val="de-DE"/>
        </w:rPr>
        <w:t xml:space="preserve">eine Anfrage verfassen </w:t>
      </w:r>
      <w:r>
        <w:rPr>
          <w:rtl w:val="0"/>
          <w:lang w:val="de-DE"/>
        </w:rPr>
        <w:t>und anschlie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end ihre erarbeitet</w:t>
      </w:r>
      <w:r>
        <w:rPr>
          <w:rtl w:val="0"/>
          <w:lang w:val="de-DE"/>
        </w:rPr>
        <w:t>e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Anfrage</w:t>
      </w:r>
      <w:r>
        <w:rPr>
          <w:rtl w:val="0"/>
          <w:lang w:val="de-DE"/>
        </w:rPr>
        <w:t xml:space="preserve"> selbstst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ndig reflektieren und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berarbeiten.</w:t>
      </w:r>
      <w:r>
        <w:rPr>
          <w:rtl w:val="0"/>
          <w:lang w:val="de-DE"/>
        </w:rPr>
        <w:t xml:space="preserve"> Die Reflexion und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berarbeitung wird von einer vorgeschalteten Analyse der Fehlerquellen geleitet und anschlie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end mit gezielten (interaktiven)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bungen zu 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ufigen Fehlern des Deutschen gef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rdert und unterst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tzt.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de-DE"/>
        </w:rPr>
        <w:t>Hinweis: Bei der Durchf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des Kurses muss die Lehrkraft eigene Vorlagen bei digitalen Lernprogrammen und Anwendungen wie ZUMpad, Oncoo etc. erstellen. Nur so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eigene Zugangscodes und Passw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rter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lerinnen und 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ler gew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hrleistet werden. </w:t>
      </w:r>
      <w:r>
        <w:br w:type="textWrapping"/>
      </w:r>
    </w:p>
    <w:p>
      <w:pPr>
        <w:pStyle w:val="Normal.0"/>
        <w:tabs>
          <w:tab w:val="left" w:pos="7797"/>
        </w:tabs>
        <w:spacing w:line="264" w:lineRule="auto"/>
        <w:jc w:val="both"/>
      </w:pPr>
      <w:r>
        <w:br w:type="page"/>
      </w:r>
    </w:p>
    <w:p>
      <w:pPr>
        <w:pStyle w:val="Normal.0"/>
        <w:tabs>
          <w:tab w:val="left" w:pos="7797"/>
        </w:tabs>
        <w:spacing w:line="264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Lernthemen und Lernschritte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93"/>
        <w:gridCol w:w="7269"/>
      </w:tblGrid>
      <w:tr>
        <w:tblPrEx>
          <w:shd w:val="clear" w:color="auto" w:fill="cdd4e9"/>
        </w:tblPrEx>
        <w:trPr>
          <w:trHeight w:val="509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de-DE"/>
              </w:rPr>
              <w:t xml:space="preserve">Lernprojekt: </w:t>
            </w:r>
            <w:r>
              <w:rPr>
                <w:b w:val="0"/>
                <w:bCs w:val="0"/>
                <w:rtl w:val="0"/>
                <w:lang w:val="de-DE"/>
              </w:rPr>
              <w:t>Einen berufsbezogenen pragmatischen Text verfassen k</w:t>
            </w:r>
            <w:r>
              <w:rPr>
                <w:b w:val="0"/>
                <w:bCs w:val="0"/>
                <w:rtl w:val="0"/>
                <w:lang w:val="de-DE"/>
              </w:rPr>
              <w:t>ö</w:t>
            </w:r>
            <w:r>
              <w:rPr>
                <w:b w:val="0"/>
                <w:bCs w:val="0"/>
                <w:rtl w:val="0"/>
                <w:lang w:val="de-DE"/>
              </w:rPr>
              <w:t>nnen. Am Beispiel eines Gesch</w:t>
            </w:r>
            <w:r>
              <w:rPr>
                <w:b w:val="0"/>
                <w:bCs w:val="0"/>
                <w:rtl w:val="0"/>
                <w:lang w:val="de-DE"/>
              </w:rPr>
              <w:t>ä</w:t>
            </w:r>
            <w:r>
              <w:rPr>
                <w:b w:val="0"/>
                <w:bCs w:val="0"/>
                <w:rtl w:val="0"/>
                <w:lang w:val="de-DE"/>
              </w:rPr>
              <w:t>ftsbriefs.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Lernthemen und Lernschritte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b w:val="1"/>
                <w:bCs w:val="1"/>
                <w:i w:val="1"/>
                <w:iCs w:val="1"/>
                <w:lang w:val="de-DE"/>
              </w:rPr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/  2. Stunde</w:t>
            </w:r>
          </w:p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Lernthema 1.1: Den inhaltlichen Aufbau und Elemente eines Gesch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ftsbriefs bestimmen k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ö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 xml:space="preserve">nnen </w:t>
            </w:r>
          </w:p>
        </w:tc>
      </w:tr>
      <w:tr>
        <w:tblPrEx>
          <w:shd w:val="clear" w:color="auto" w:fill="cdd4e9"/>
        </w:tblPrEx>
        <w:trPr>
          <w:trHeight w:val="97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Lernschritt 1.1.1: Die Besonderheiten und Elemente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benennen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de-DE"/>
              </w:rPr>
              <w:t>Lernschritt 1.1.2: Den inhaltlichen Aufbau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bestimmen und durchdenken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 xml:space="preserve">nnen. 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3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./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4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. Stunde</w:t>
            </w:r>
          </w:p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Lernthema 1.2: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Eine Anfrage zielgerichtet und situationsbezogen verfassen k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ö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nnen</w:t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Lernschritt 1.2.1: Die Merkmale einer Anfrage benennen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de-DE"/>
              </w:rPr>
              <w:t>Lernschritt 1.2.2: Eine Anfrage zielgerichtet und situationsbezogen verfassen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5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.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/6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 xml:space="preserve"> Stunde</w:t>
            </w:r>
          </w:p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Lernthema: 1.3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Einen Gesch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ftsbrief selbstst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 xml:space="preserve">ndig 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ü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berarbeiten k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ö</w:t>
            </w:r>
            <w:r>
              <w:rPr>
                <w:b w:val="1"/>
                <w:bCs w:val="1"/>
                <w:i w:val="1"/>
                <w:iCs w:val="1"/>
                <w:rtl w:val="0"/>
                <w:lang w:val="de-DE"/>
              </w:rPr>
              <w:t>nnen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Lernschritt 1.3.1: Eine Fehleranalyse durchf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hren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 xml:space="preserve">Lernschritt 1.3.2: </w:t>
            </w:r>
            <w:r>
              <w:rPr>
                <w:rtl w:val="0"/>
                <w:lang w:val="de-DE"/>
              </w:rPr>
              <w:t>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ufige Fehler benennen und vermeiden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Projektaufgabe</w:t>
            </w:r>
          </w:p>
        </w:tc>
      </w:tr>
    </w:tbl>
    <w:p>
      <w:pPr>
        <w:pStyle w:val="Normal.0"/>
        <w:widowControl w:val="0"/>
        <w:tabs>
          <w:tab w:val="left" w:pos="7797"/>
        </w:tabs>
        <w:spacing w:line="240" w:lineRule="auto"/>
        <w:jc w:val="both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footnote reference"/>
        </w:rPr>
        <w:footnoteRef/>
      </w:r>
      <w:r>
        <w:rPr>
          <w:sz w:val="18"/>
          <w:szCs w:val="18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"http://www.ls-bw.de/site/pbs-bw-new/get/documents/KULTUS.Dachmandant/KULTUS/Dienststellen/ls-bw/Bildungspl%C3%A4ne/Berufliche%20Schulen/bs/bs_allg/BS_Allg-Faecher_Deutsch_15_3941.pdf"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http://www.ls-bw.de/site/pbs-bw-new/get/documents/KULTUS.Dachmandant/KULTUS/Dienststellen/ls-bw/Bildungspl%C3%A4ne/Berufliche%20Schulen/bs/bs_allg/BS_Allg-Faecher_Deutsch_15_3941.pdf</w:t>
      </w:r>
      <w:r>
        <w:rPr/>
        <w:fldChar w:fldCharType="end" w:fldLock="0"/>
      </w:r>
    </w:p>
  </w:footnote>
  <w:footnote w:id="2">
    <w:p>
      <w:pPr>
        <w:pStyle w:val="footnote text"/>
      </w:pPr>
      <w:r>
        <w:rPr>
          <w:rStyle w:val="footnote reference"/>
        </w:rPr>
        <w:footnoteRef/>
      </w:r>
      <w:r>
        <w:rPr>
          <w:rtl w:val="0"/>
        </w:rPr>
        <w:t xml:space="preserve"> vgl. Bildungsplan f</w:t>
      </w:r>
      <w:r>
        <w:rPr>
          <w:rtl w:val="0"/>
        </w:rPr>
        <w:t>ü</w:t>
      </w:r>
      <w:r>
        <w:rPr>
          <w:rtl w:val="0"/>
        </w:rPr>
        <w:t>r die Berufsschule, Heft 1, Deutsch, S. 9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7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38" style="position:absolute;left:0;top:67816;width:4464184;height:351756;" coordorigin="0,0" coordsize="4464185,351756">
                <v:rect id="_x0000_s1039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0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41" type="#_x0000_t75" style="position:absolute;left:5815164;top:0;width:399580;height:436880;">
                <v:imagedata r:id="rId1" o:title="image2.png"/>
              </v:shape>
              <v:line id="_x0000_s1042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35" w:hanging="435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20" w:hanging="72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720" w:hanging="72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080" w:hanging="10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080" w:hanging="10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440" w:hanging="14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440" w:hanging="14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800" w:hanging="18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footnote reference">
    <w:name w:val="footnote reference"/>
    <w:rPr>
      <w:vertAlign w:val="superscript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color w:val="000000"/>
      <w:sz w:val="18"/>
      <w:szCs w:val="18"/>
      <w:u w:val="no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