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E5D81" w:rsidRPr="00EF76A8" w:rsidRDefault="00CE5D81" w:rsidP="00CE5D81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CE5D81" w:rsidRPr="00A163D5" w:rsidRDefault="007D6327" w:rsidP="00CE5D81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</w:rPr>
      </w:pPr>
      <w:r w:rsidRPr="00A163D5">
        <w:rPr>
          <w:b/>
        </w:rPr>
        <w:t>Experimente mit Algenarten: Wo lieg</w:t>
      </w:r>
      <w:r w:rsidR="00A163D5" w:rsidRPr="00A163D5">
        <w:rPr>
          <w:b/>
        </w:rPr>
        <w:t>en</w:t>
      </w:r>
      <w:r w:rsidRPr="00A163D5">
        <w:rPr>
          <w:b/>
        </w:rPr>
        <w:t xml:space="preserve"> </w:t>
      </w:r>
      <w:r w:rsidR="00A163D5" w:rsidRPr="00A163D5">
        <w:rPr>
          <w:b/>
        </w:rPr>
        <w:t>die Informationen für den Bau</w:t>
      </w:r>
      <w:r w:rsidRPr="00A163D5">
        <w:rPr>
          <w:b/>
        </w:rPr>
        <w:t xml:space="preserve"> einer Zelle?</w:t>
      </w:r>
    </w:p>
    <w:p w:rsidR="00CE5D81" w:rsidRPr="00EF76A8" w:rsidRDefault="00CE5D81" w:rsidP="00CE5D81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CE5D81" w:rsidRDefault="00CE5D81" w:rsidP="00CE5D81">
      <w:pPr>
        <w:spacing w:before="40"/>
        <w:rPr>
          <w:rFonts w:ascii="Times" w:hAnsi="Times"/>
          <w:sz w:val="1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9"/>
      </w:tblGrid>
      <w:tr w:rsidR="00A163D5" w:rsidTr="0039094D">
        <w:tc>
          <w:tcPr>
            <w:tcW w:w="7230" w:type="dxa"/>
            <w:tcMar>
              <w:left w:w="17" w:type="dxa"/>
              <w:right w:w="57" w:type="dxa"/>
            </w:tcMar>
          </w:tcPr>
          <w:p w:rsidR="00A163D5" w:rsidRDefault="00A163D5" w:rsidP="00A163D5">
            <w:pPr>
              <w:rPr>
                <w:rFonts w:ascii="Times" w:hAnsi="Times"/>
              </w:rPr>
            </w:pPr>
            <w:r w:rsidRPr="007D6327">
              <w:rPr>
                <w:rFonts w:ascii="Times" w:hAnsi="Times"/>
              </w:rPr>
              <w:t xml:space="preserve">Algen der Gattung </w:t>
            </w:r>
            <w:proofErr w:type="spellStart"/>
            <w:r w:rsidRPr="007D6327">
              <w:rPr>
                <w:rFonts w:ascii="Times" w:hAnsi="Times"/>
                <w:i/>
              </w:rPr>
              <w:t>Acetabularia</w:t>
            </w:r>
            <w:proofErr w:type="spellEnd"/>
            <w:r w:rsidRPr="007D6327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 xml:space="preserve">sind leicht zu erkennen: Sie </w:t>
            </w:r>
            <w:r w:rsidR="00D81479">
              <w:rPr>
                <w:rFonts w:ascii="Times" w:hAnsi="Times"/>
              </w:rPr>
              <w:t xml:space="preserve">sind </w:t>
            </w:r>
            <w:r>
              <w:rPr>
                <w:rFonts w:ascii="Times" w:hAnsi="Times"/>
              </w:rPr>
              <w:t xml:space="preserve">mit einem „Fuß“ festgewachsen, besitzen einen mehrere Zentimeter langen aufrechten „Stiel“ und einen je nach Art charakteristisch geformten „Hut“. Besonders an diesen Algen ist, dass es sich um Einzelzellen handelt. </w:t>
            </w:r>
            <w:r w:rsidR="009F73A8">
              <w:rPr>
                <w:rFonts w:ascii="Times" w:hAnsi="Times"/>
              </w:rPr>
              <w:t>Sie enth</w:t>
            </w:r>
            <w:r w:rsidR="008A642E">
              <w:rPr>
                <w:rFonts w:ascii="Times" w:hAnsi="Times"/>
              </w:rPr>
              <w:t>a</w:t>
            </w:r>
            <w:r w:rsidR="009F73A8">
              <w:rPr>
                <w:rFonts w:ascii="Times" w:hAnsi="Times"/>
              </w:rPr>
              <w:t>lt</w:t>
            </w:r>
            <w:r w:rsidR="008A642E">
              <w:rPr>
                <w:rFonts w:ascii="Times" w:hAnsi="Times"/>
              </w:rPr>
              <w:t>en</w:t>
            </w:r>
            <w:r w:rsidR="009F73A8">
              <w:rPr>
                <w:rFonts w:ascii="Times" w:hAnsi="Times"/>
              </w:rPr>
              <w:t xml:space="preserve"> im „Fuß“ einen Zellkern. Der übrige Teil der Zelle ist von der Zellflüssigkeit, dem Zellplasma mit den Organellen (z.B. Chloroplasten, Mitochondrien) ausgefüllt. </w:t>
            </w:r>
            <w:r>
              <w:rPr>
                <w:rFonts w:ascii="Times" w:hAnsi="Times"/>
              </w:rPr>
              <w:t xml:space="preserve">Wegen der enormen Größe der Einzelzellen eignen sie sich gut als Forschungsobjekt für die Zellbiologie. </w:t>
            </w:r>
          </w:p>
        </w:tc>
        <w:tc>
          <w:tcPr>
            <w:tcW w:w="2409" w:type="dxa"/>
            <w:tcMar>
              <w:left w:w="17" w:type="dxa"/>
              <w:right w:w="57" w:type="dxa"/>
            </w:tcMar>
          </w:tcPr>
          <w:p w:rsidR="00A163D5" w:rsidRDefault="0039094D" w:rsidP="00A163D5">
            <w:pPr>
              <w:spacing w:before="40"/>
              <w:jc w:val="right"/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>
                  <wp:extent cx="1216255" cy="1440000"/>
                  <wp:effectExtent l="0" t="0" r="3175" b="0"/>
                  <wp:docPr id="7" name="Grafik 7" descr="Ein Bild, das Tisch, Vase, Essen, Blum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aeckel_Acetabularia_acetabulum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5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3D5" w:rsidTr="0039094D">
        <w:tc>
          <w:tcPr>
            <w:tcW w:w="9639" w:type="dxa"/>
            <w:gridSpan w:val="2"/>
            <w:tcMar>
              <w:left w:w="17" w:type="dxa"/>
              <w:right w:w="57" w:type="dxa"/>
            </w:tcMar>
          </w:tcPr>
          <w:p w:rsidR="00A163D5" w:rsidRDefault="0036407E" w:rsidP="00A163D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In </w:t>
            </w:r>
            <w:r w:rsidR="0039094D">
              <w:rPr>
                <w:rFonts w:ascii="Times" w:hAnsi="Times"/>
              </w:rPr>
              <w:t xml:space="preserve">der </w:t>
            </w:r>
            <w:r>
              <w:rPr>
                <w:rFonts w:ascii="Times" w:hAnsi="Times"/>
              </w:rPr>
              <w:t xml:space="preserve">Abbildung </w:t>
            </w:r>
            <w:r w:rsidR="0039094D">
              <w:rPr>
                <w:rFonts w:ascii="Times" w:hAnsi="Times"/>
              </w:rPr>
              <w:t>rechts</w:t>
            </w:r>
            <w:r>
              <w:rPr>
                <w:rFonts w:ascii="Times" w:hAnsi="Times"/>
              </w:rPr>
              <w:t xml:space="preserve"> </w:t>
            </w:r>
            <w:r w:rsidR="0039094D">
              <w:rPr>
                <w:rFonts w:ascii="Times" w:hAnsi="Times"/>
              </w:rPr>
              <w:t>ein „Büschel“ von</w:t>
            </w:r>
            <w:r>
              <w:rPr>
                <w:rFonts w:ascii="Times" w:hAnsi="Times"/>
              </w:rPr>
              <w:t xml:space="preserve"> Zellen der im Mittelmeer häufigen Art </w:t>
            </w:r>
            <w:proofErr w:type="spellStart"/>
            <w:r w:rsidRPr="007D6327">
              <w:rPr>
                <w:rFonts w:ascii="Times" w:hAnsi="Times"/>
                <w:i/>
              </w:rPr>
              <w:t>Acetabularia</w:t>
            </w:r>
            <w:proofErr w:type="spellEnd"/>
            <w:r>
              <w:rPr>
                <w:rFonts w:ascii="Times" w:hAnsi="Times"/>
                <w:i/>
              </w:rPr>
              <w:t xml:space="preserve"> </w:t>
            </w:r>
            <w:proofErr w:type="spellStart"/>
            <w:r>
              <w:rPr>
                <w:rFonts w:ascii="Times" w:hAnsi="Times"/>
                <w:i/>
              </w:rPr>
              <w:t>mediterranea</w:t>
            </w:r>
            <w:proofErr w:type="spellEnd"/>
            <w:r>
              <w:rPr>
                <w:rFonts w:ascii="Times" w:hAnsi="Times"/>
              </w:rPr>
              <w:t xml:space="preserve"> zu sehen. </w:t>
            </w:r>
            <w:r w:rsidR="00A163D5" w:rsidRPr="007D6327">
              <w:rPr>
                <w:rFonts w:ascii="Times" w:hAnsi="Times"/>
              </w:rPr>
              <w:t>In Experimenten</w:t>
            </w:r>
            <w:r w:rsidR="00A163D5">
              <w:rPr>
                <w:rFonts w:ascii="Times" w:hAnsi="Times"/>
              </w:rPr>
              <w:t xml:space="preserve"> wurde an</w:t>
            </w:r>
            <w:r w:rsidR="0039094D">
              <w:rPr>
                <w:rFonts w:ascii="Times" w:hAnsi="Times"/>
              </w:rPr>
              <w:t xml:space="preserve"> zwei leicht unterscheidbaren Arten von </w:t>
            </w:r>
            <w:proofErr w:type="spellStart"/>
            <w:r w:rsidR="00A163D5" w:rsidRPr="007D6327">
              <w:rPr>
                <w:rFonts w:ascii="Times" w:hAnsi="Times"/>
                <w:i/>
              </w:rPr>
              <w:t>Aceta</w:t>
            </w:r>
            <w:r w:rsidR="0039094D">
              <w:rPr>
                <w:rFonts w:ascii="Times" w:hAnsi="Times"/>
                <w:i/>
              </w:rPr>
              <w:t>-</w:t>
            </w:r>
            <w:r w:rsidR="00A163D5" w:rsidRPr="007D6327">
              <w:rPr>
                <w:rFonts w:ascii="Times" w:hAnsi="Times"/>
                <w:i/>
              </w:rPr>
              <w:t>bularia</w:t>
            </w:r>
            <w:proofErr w:type="spellEnd"/>
            <w:r w:rsidR="00A163D5" w:rsidRPr="007D6327">
              <w:rPr>
                <w:rFonts w:ascii="Times" w:hAnsi="Times"/>
              </w:rPr>
              <w:t xml:space="preserve"> </w:t>
            </w:r>
            <w:r w:rsidR="00A163D5">
              <w:rPr>
                <w:rFonts w:ascii="Times" w:hAnsi="Times"/>
              </w:rPr>
              <w:t>die Frage untersucht, wo die Informationen für den Bau einer Zelle liegen, also gewisser</w:t>
            </w:r>
            <w:r w:rsidR="0039094D">
              <w:rPr>
                <w:rFonts w:ascii="Times" w:hAnsi="Times"/>
              </w:rPr>
              <w:t>-</w:t>
            </w:r>
            <w:r w:rsidR="00A163D5">
              <w:rPr>
                <w:rFonts w:ascii="Times" w:hAnsi="Times"/>
              </w:rPr>
              <w:t xml:space="preserve">maßen der „Bauplan“ oder die „Bauzeichnung“. </w:t>
            </w:r>
            <w:r w:rsidR="008A642E">
              <w:rPr>
                <w:rFonts w:ascii="Times" w:hAnsi="Times"/>
              </w:rPr>
              <w:t>Ein</w:t>
            </w:r>
            <w:r w:rsidR="00A163D5">
              <w:rPr>
                <w:rFonts w:ascii="Times" w:hAnsi="Times"/>
              </w:rPr>
              <w:t xml:space="preserve"> Experiment </w:t>
            </w:r>
            <w:r w:rsidR="008A642E">
              <w:rPr>
                <w:rFonts w:ascii="Times" w:hAnsi="Times"/>
              </w:rPr>
              <w:t>ist</w:t>
            </w:r>
            <w:r w:rsidR="00A163D5">
              <w:rPr>
                <w:rFonts w:ascii="Times" w:hAnsi="Times"/>
              </w:rPr>
              <w:t xml:space="preserve"> in Abbildung 2 dargestellt. </w:t>
            </w:r>
          </w:p>
        </w:tc>
      </w:tr>
    </w:tbl>
    <w:p w:rsidR="00A163D5" w:rsidRPr="009F73A8" w:rsidRDefault="00A163D5" w:rsidP="00F87627">
      <w:pPr>
        <w:spacing w:before="40"/>
        <w:jc w:val="center"/>
        <w:rPr>
          <w:rFonts w:ascii="Times" w:hAnsi="Times"/>
          <w:sz w:val="12"/>
          <w:szCs w:val="12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F87627" w:rsidTr="00F87627">
        <w:tc>
          <w:tcPr>
            <w:tcW w:w="4111" w:type="dxa"/>
            <w:tcMar>
              <w:left w:w="17" w:type="dxa"/>
              <w:right w:w="57" w:type="dxa"/>
            </w:tcMar>
          </w:tcPr>
          <w:p w:rsidR="00F87627" w:rsidRDefault="00F87627" w:rsidP="003F7E6A">
            <w:pPr>
              <w:rPr>
                <w:rFonts w:ascii="Times" w:hAnsi="Times"/>
              </w:rPr>
            </w:pPr>
            <w:r w:rsidRPr="008A642E">
              <w:rPr>
                <w:rFonts w:ascii="Times" w:hAnsi="Times"/>
                <w:b/>
              </w:rPr>
              <w:t>Arbeitsaufträg</w:t>
            </w:r>
            <w:r w:rsidR="008A642E">
              <w:rPr>
                <w:rFonts w:ascii="Times" w:hAnsi="Times"/>
                <w:b/>
              </w:rPr>
              <w:t>e</w:t>
            </w:r>
            <w:r>
              <w:rPr>
                <w:rFonts w:ascii="Times" w:hAnsi="Times"/>
              </w:rPr>
              <w:t xml:space="preserve"> </w:t>
            </w:r>
          </w:p>
          <w:p w:rsidR="00F87627" w:rsidRDefault="00F87627" w:rsidP="009F73A8">
            <w:pPr>
              <w:tabs>
                <w:tab w:val="left" w:pos="284"/>
              </w:tabs>
              <w:spacing w:before="40"/>
              <w:ind w:left="284" w:hanging="284"/>
              <w:rPr>
                <w:rFonts w:ascii="Times" w:hAnsi="Times"/>
              </w:rPr>
            </w:pPr>
            <w:r w:rsidRPr="00A163D5">
              <w:rPr>
                <w:rFonts w:ascii="Times" w:hAnsi="Times"/>
              </w:rPr>
              <w:t>1.</w:t>
            </w:r>
            <w:r w:rsidRPr="00A163D5">
              <w:rPr>
                <w:rFonts w:ascii="Times" w:hAnsi="Times"/>
              </w:rPr>
              <w:tab/>
            </w:r>
            <w:proofErr w:type="gramStart"/>
            <w:r>
              <w:rPr>
                <w:rFonts w:ascii="Times" w:hAnsi="Times"/>
              </w:rPr>
              <w:t>Beschreibe</w:t>
            </w:r>
            <w:proofErr w:type="gramEnd"/>
            <w:r>
              <w:rPr>
                <w:rFonts w:ascii="Times" w:hAnsi="Times"/>
              </w:rPr>
              <w:t xml:space="preserve"> </w:t>
            </w:r>
            <w:r w:rsidR="00CA52C6">
              <w:rPr>
                <w:rFonts w:ascii="Times" w:hAnsi="Times"/>
              </w:rPr>
              <w:t>das</w:t>
            </w:r>
            <w:r w:rsidRPr="00D81479">
              <w:rPr>
                <w:rFonts w:ascii="Times" w:hAnsi="Times"/>
              </w:rPr>
              <w:t xml:space="preserve"> Experiment</w:t>
            </w:r>
            <w:r w:rsidR="00CA52C6">
              <w:rPr>
                <w:rFonts w:ascii="Times" w:hAnsi="Times"/>
              </w:rPr>
              <w:t xml:space="preserve"> und das Ergebnis mithilfe von Abb. 2</w:t>
            </w:r>
            <w:r>
              <w:rPr>
                <w:rFonts w:ascii="Times" w:hAnsi="Times"/>
              </w:rPr>
              <w:t>.</w:t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0C71B9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F87627" w:rsidRPr="00386DA0" w:rsidRDefault="00F87627" w:rsidP="00386DA0">
            <w:pPr>
              <w:tabs>
                <w:tab w:val="left" w:pos="284"/>
                <w:tab w:val="right" w:pos="3950"/>
              </w:tabs>
              <w:spacing w:before="14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</w:tc>
        <w:tc>
          <w:tcPr>
            <w:tcW w:w="5670" w:type="dxa"/>
            <w:tcMar>
              <w:left w:w="17" w:type="dxa"/>
              <w:right w:w="57" w:type="dxa"/>
            </w:tcMar>
          </w:tcPr>
          <w:p w:rsidR="00F87627" w:rsidRDefault="00F87627" w:rsidP="003F7E6A">
            <w:pPr>
              <w:spacing w:before="40"/>
              <w:jc w:val="right"/>
              <w:rPr>
                <w:rFonts w:ascii="Times" w:hAnsi="Times"/>
              </w:rPr>
            </w:pPr>
          </w:p>
          <w:p w:rsidR="00386DA0" w:rsidRDefault="00CE6215" w:rsidP="003F7E6A">
            <w:pPr>
              <w:spacing w:before="40"/>
              <w:jc w:val="right"/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>
                  <wp:extent cx="3416300" cy="23114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cetabularium_Expt_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7627" w:rsidRPr="00F87627" w:rsidRDefault="00F87627" w:rsidP="003F7E6A">
            <w:pPr>
              <w:spacing w:before="40"/>
              <w:jc w:val="right"/>
              <w:rPr>
                <w:rFonts w:ascii="Times" w:hAnsi="Times"/>
                <w:sz w:val="20"/>
                <w:szCs w:val="20"/>
              </w:rPr>
            </w:pPr>
            <w:r w:rsidRPr="00F87627">
              <w:rPr>
                <w:rFonts w:ascii="Times" w:hAnsi="Times"/>
                <w:sz w:val="20"/>
                <w:szCs w:val="20"/>
              </w:rPr>
              <w:t xml:space="preserve">Abb. 2: Experiment mit zwei </w:t>
            </w:r>
            <w:proofErr w:type="spellStart"/>
            <w:r w:rsidRPr="00F87627">
              <w:rPr>
                <w:rFonts w:ascii="Times" w:hAnsi="Times"/>
                <w:i/>
                <w:sz w:val="20"/>
                <w:szCs w:val="20"/>
              </w:rPr>
              <w:t>Acetabularia</w:t>
            </w:r>
            <w:proofErr w:type="spellEnd"/>
            <w:r w:rsidRPr="00F87627">
              <w:rPr>
                <w:rFonts w:ascii="Times" w:hAnsi="Times"/>
                <w:sz w:val="20"/>
                <w:szCs w:val="20"/>
              </w:rPr>
              <w:t>-Arten</w:t>
            </w:r>
          </w:p>
        </w:tc>
      </w:tr>
    </w:tbl>
    <w:p w:rsidR="00A163D5" w:rsidRDefault="00F87627" w:rsidP="009F73A8">
      <w:pPr>
        <w:tabs>
          <w:tab w:val="left" w:pos="284"/>
        </w:tabs>
        <w:spacing w:before="180"/>
        <w:ind w:left="284" w:hanging="284"/>
        <w:rPr>
          <w:rFonts w:ascii="Times" w:hAnsi="Times"/>
        </w:rPr>
      </w:pPr>
      <w:r>
        <w:rPr>
          <w:rFonts w:ascii="Times" w:hAnsi="Times"/>
        </w:rPr>
        <w:t>2</w:t>
      </w:r>
      <w:r w:rsidR="00A163D5" w:rsidRPr="00A163D5">
        <w:rPr>
          <w:rFonts w:ascii="Times" w:hAnsi="Times"/>
        </w:rPr>
        <w:t>.</w:t>
      </w:r>
      <w:r w:rsidR="00A163D5" w:rsidRPr="00A163D5">
        <w:rPr>
          <w:rFonts w:ascii="Times" w:hAnsi="Times"/>
        </w:rPr>
        <w:tab/>
      </w:r>
      <w:r w:rsidRPr="00D81479">
        <w:rPr>
          <w:rFonts w:ascii="Times" w:hAnsi="Times"/>
        </w:rPr>
        <w:t>Formuliere</w:t>
      </w:r>
      <w:r w:rsidR="00824FA9" w:rsidRPr="00824FA9">
        <w:rPr>
          <w:rFonts w:ascii="Times" w:hAnsi="Times"/>
        </w:rPr>
        <w:t xml:space="preserve"> </w:t>
      </w:r>
      <w:r w:rsidR="00824FA9">
        <w:rPr>
          <w:rFonts w:ascii="Times" w:hAnsi="Times"/>
        </w:rPr>
        <w:t>bezüglich der Frage in der Überschrift</w:t>
      </w:r>
      <w:r w:rsidRPr="00D81479">
        <w:rPr>
          <w:rFonts w:ascii="Times" w:hAnsi="Times"/>
        </w:rPr>
        <w:t xml:space="preserve"> eine Vermutung und eine Gegenvermutung, </w:t>
      </w:r>
      <w:r w:rsidR="00824FA9">
        <w:rPr>
          <w:rFonts w:ascii="Times" w:hAnsi="Times"/>
        </w:rPr>
        <w:t>die</w:t>
      </w:r>
      <w:r w:rsidRPr="00D81479">
        <w:rPr>
          <w:rFonts w:ascii="Times" w:hAnsi="Times"/>
        </w:rPr>
        <w:t xml:space="preserve"> </w:t>
      </w:r>
      <w:r w:rsidR="00B56FD1">
        <w:rPr>
          <w:rFonts w:ascii="Times" w:hAnsi="Times"/>
        </w:rPr>
        <w:t>mit dem</w:t>
      </w:r>
      <w:r w:rsidRPr="00D81479">
        <w:rPr>
          <w:rFonts w:ascii="Times" w:hAnsi="Times"/>
        </w:rPr>
        <w:t xml:space="preserve"> Experiment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ü</w:t>
      </w:r>
      <w:r w:rsidRPr="00D81479">
        <w:rPr>
          <w:rFonts w:ascii="Times" w:hAnsi="Times"/>
        </w:rPr>
        <w:t>berprüft</w:t>
      </w:r>
      <w:proofErr w:type="spellEnd"/>
      <w:r w:rsidRPr="00D81479">
        <w:rPr>
          <w:rFonts w:ascii="Times" w:hAnsi="Times"/>
        </w:rPr>
        <w:t xml:space="preserve"> werden können</w:t>
      </w:r>
      <w:r w:rsidR="00A163D5" w:rsidRPr="00A163D5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  <w:t xml:space="preserve">Vermutung: </w:t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  <w:t xml:space="preserve">Gegenvermutung: </w:t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Default="00F87627" w:rsidP="009F73A8">
      <w:pPr>
        <w:tabs>
          <w:tab w:val="left" w:pos="284"/>
        </w:tabs>
        <w:spacing w:before="180"/>
        <w:ind w:left="284" w:hanging="284"/>
        <w:rPr>
          <w:rFonts w:ascii="Times" w:hAnsi="Times"/>
        </w:rPr>
      </w:pPr>
      <w:r>
        <w:rPr>
          <w:rFonts w:ascii="Times" w:hAnsi="Times"/>
        </w:rPr>
        <w:t xml:space="preserve">3. </w:t>
      </w:r>
      <w:r w:rsidRPr="00D81479">
        <w:rPr>
          <w:rFonts w:ascii="Times" w:hAnsi="Times"/>
        </w:rPr>
        <w:t>Werte die Experimente in Bezug auf die Vermutungen aus</w:t>
      </w:r>
      <w:r>
        <w:rPr>
          <w:rFonts w:ascii="Times" w:hAnsi="Times"/>
        </w:rPr>
        <w:t xml:space="preserve"> und formuliere eine Schlussfolgerung bezüglich der in der Überschrift formulierten Frage. </w:t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F87627" w:rsidRPr="000C71B9" w:rsidRDefault="00F87627" w:rsidP="00386DA0">
      <w:pPr>
        <w:tabs>
          <w:tab w:val="left" w:pos="284"/>
          <w:tab w:val="right" w:pos="9637"/>
        </w:tabs>
        <w:spacing w:before="14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sectPr w:rsidR="00F87627" w:rsidRPr="000C71B9" w:rsidSect="00693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3946" w:rsidRDefault="00173946">
      <w:r>
        <w:separator/>
      </w:r>
    </w:p>
  </w:endnote>
  <w:endnote w:type="continuationSeparator" w:id="0">
    <w:p w:rsidR="00173946" w:rsidRDefault="001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2F65" w:rsidRDefault="004D2F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39094D" w:rsidRDefault="00A163D5" w:rsidP="00693DE2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</w:t>
    </w:r>
    <w:r w:rsidR="0039094D" w:rsidRPr="0039094D">
      <w:rPr>
        <w:rFonts w:ascii="Times" w:hAnsi="Times"/>
        <w:color w:val="999999"/>
        <w:sz w:val="20"/>
        <w:szCs w:val="20"/>
      </w:rPr>
      <w:t>.</w:t>
    </w:r>
    <w:r w:rsidRPr="0039094D">
      <w:rPr>
        <w:rFonts w:ascii="Times" w:hAnsi="Times"/>
        <w:color w:val="999999"/>
        <w:sz w:val="20"/>
        <w:szCs w:val="20"/>
      </w:rPr>
      <w:t xml:space="preserve"> 9</w:t>
    </w:r>
    <w:r w:rsidR="0039094D" w:rsidRPr="0039094D">
      <w:rPr>
        <w:rFonts w:ascii="Times" w:hAnsi="Times"/>
        <w:color w:val="999999"/>
        <w:sz w:val="20"/>
        <w:szCs w:val="20"/>
      </w:rPr>
      <w:t>/10: Zellen und Gene</w:t>
    </w:r>
    <w:r w:rsidR="0039094D"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="0039094D"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2F65" w:rsidRDefault="004D2F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3946" w:rsidRDefault="00173946">
      <w:r>
        <w:separator/>
      </w:r>
    </w:p>
  </w:footnote>
  <w:footnote w:type="continuationSeparator" w:id="0">
    <w:p w:rsidR="00173946" w:rsidRDefault="0017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5049B"/>
    <w:rsid w:val="000A7F75"/>
    <w:rsid w:val="000C71B9"/>
    <w:rsid w:val="000E77E9"/>
    <w:rsid w:val="000F24E4"/>
    <w:rsid w:val="001178E1"/>
    <w:rsid w:val="00153BDF"/>
    <w:rsid w:val="001623FF"/>
    <w:rsid w:val="0017161D"/>
    <w:rsid w:val="00173946"/>
    <w:rsid w:val="00175976"/>
    <w:rsid w:val="0017647E"/>
    <w:rsid w:val="00191BB1"/>
    <w:rsid w:val="001A404D"/>
    <w:rsid w:val="001F1AD6"/>
    <w:rsid w:val="001F2BA7"/>
    <w:rsid w:val="0020366D"/>
    <w:rsid w:val="00221A90"/>
    <w:rsid w:val="00237BF1"/>
    <w:rsid w:val="0024102B"/>
    <w:rsid w:val="00256129"/>
    <w:rsid w:val="00256FDF"/>
    <w:rsid w:val="002A5052"/>
    <w:rsid w:val="00302DA8"/>
    <w:rsid w:val="00333080"/>
    <w:rsid w:val="0036407E"/>
    <w:rsid w:val="00386DA0"/>
    <w:rsid w:val="0039094D"/>
    <w:rsid w:val="003D1A09"/>
    <w:rsid w:val="00406FC8"/>
    <w:rsid w:val="004426F6"/>
    <w:rsid w:val="00443055"/>
    <w:rsid w:val="00484301"/>
    <w:rsid w:val="004C483E"/>
    <w:rsid w:val="004D0106"/>
    <w:rsid w:val="004D2F65"/>
    <w:rsid w:val="004D42C1"/>
    <w:rsid w:val="004D7D74"/>
    <w:rsid w:val="00501221"/>
    <w:rsid w:val="005A08D5"/>
    <w:rsid w:val="005A0D41"/>
    <w:rsid w:val="005C057A"/>
    <w:rsid w:val="005C1589"/>
    <w:rsid w:val="005D03F2"/>
    <w:rsid w:val="005F25F9"/>
    <w:rsid w:val="00611494"/>
    <w:rsid w:val="00630D13"/>
    <w:rsid w:val="00644083"/>
    <w:rsid w:val="00653F84"/>
    <w:rsid w:val="00693DE2"/>
    <w:rsid w:val="006C307D"/>
    <w:rsid w:val="006C447E"/>
    <w:rsid w:val="00730590"/>
    <w:rsid w:val="00746451"/>
    <w:rsid w:val="0075190F"/>
    <w:rsid w:val="0079297C"/>
    <w:rsid w:val="007A1F71"/>
    <w:rsid w:val="007D6327"/>
    <w:rsid w:val="007E2B98"/>
    <w:rsid w:val="007E520A"/>
    <w:rsid w:val="00824FA9"/>
    <w:rsid w:val="00843321"/>
    <w:rsid w:val="008724F7"/>
    <w:rsid w:val="00883E93"/>
    <w:rsid w:val="008A642E"/>
    <w:rsid w:val="008F56F4"/>
    <w:rsid w:val="00900E5C"/>
    <w:rsid w:val="00907300"/>
    <w:rsid w:val="00935ADA"/>
    <w:rsid w:val="009A6E57"/>
    <w:rsid w:val="009B47DB"/>
    <w:rsid w:val="009C263A"/>
    <w:rsid w:val="009D0AE1"/>
    <w:rsid w:val="009E03C0"/>
    <w:rsid w:val="009E77B7"/>
    <w:rsid w:val="009F73A8"/>
    <w:rsid w:val="00A01AA3"/>
    <w:rsid w:val="00A1596B"/>
    <w:rsid w:val="00A163D5"/>
    <w:rsid w:val="00A70CC4"/>
    <w:rsid w:val="00AA7195"/>
    <w:rsid w:val="00AB7907"/>
    <w:rsid w:val="00AC4638"/>
    <w:rsid w:val="00AE5372"/>
    <w:rsid w:val="00B270EC"/>
    <w:rsid w:val="00B56FD1"/>
    <w:rsid w:val="00B969D1"/>
    <w:rsid w:val="00BD6614"/>
    <w:rsid w:val="00C12E5B"/>
    <w:rsid w:val="00C32E7D"/>
    <w:rsid w:val="00C65640"/>
    <w:rsid w:val="00CA52C6"/>
    <w:rsid w:val="00CD70D3"/>
    <w:rsid w:val="00CE5D81"/>
    <w:rsid w:val="00CE6215"/>
    <w:rsid w:val="00D15E8E"/>
    <w:rsid w:val="00D65755"/>
    <w:rsid w:val="00D81479"/>
    <w:rsid w:val="00DB1969"/>
    <w:rsid w:val="00DC3105"/>
    <w:rsid w:val="00DD4E1D"/>
    <w:rsid w:val="00DF5013"/>
    <w:rsid w:val="00E15539"/>
    <w:rsid w:val="00E968A3"/>
    <w:rsid w:val="00EA07F2"/>
    <w:rsid w:val="00EB0B37"/>
    <w:rsid w:val="00F15AFC"/>
    <w:rsid w:val="00F409FA"/>
    <w:rsid w:val="00F43DFA"/>
    <w:rsid w:val="00F65087"/>
    <w:rsid w:val="00F87627"/>
    <w:rsid w:val="00F94D56"/>
    <w:rsid w:val="00FB466D"/>
    <w:rsid w:val="00FE32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76</cp:revision>
  <cp:lastPrinted>2020-04-23T14:33:00Z</cp:lastPrinted>
  <dcterms:created xsi:type="dcterms:W3CDTF">2019-11-24T19:33:00Z</dcterms:created>
  <dcterms:modified xsi:type="dcterms:W3CDTF">2020-11-05T06:29:00Z</dcterms:modified>
</cp:coreProperties>
</file>